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17426C1"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00573">
        <w:rPr>
          <w:bCs/>
          <w:noProof w:val="0"/>
          <w:sz w:val="24"/>
          <w:szCs w:val="24"/>
        </w:rPr>
        <w:t>4</w:t>
      </w:r>
      <w:r w:rsidR="008C150D">
        <w:rPr>
          <w:bCs/>
          <w:noProof w:val="0"/>
          <w:sz w:val="24"/>
          <w:szCs w:val="24"/>
        </w:rPr>
        <w:t>-e</w:t>
      </w:r>
      <w:r w:rsidR="001348FE">
        <w:rPr>
          <w:bCs/>
          <w:noProof w:val="0"/>
          <w:sz w:val="24"/>
          <w:szCs w:val="24"/>
        </w:rPr>
        <w:tab/>
      </w:r>
      <w:r w:rsidR="008F7619">
        <w:rPr>
          <w:bCs/>
          <w:noProof w:val="0"/>
          <w:sz w:val="24"/>
          <w:szCs w:val="24"/>
        </w:rPr>
        <w:t>R1-2101712</w:t>
      </w:r>
    </w:p>
    <w:p w14:paraId="30E02940" w14:textId="1AF13B85" w:rsidR="00CA26CE" w:rsidRDefault="002778BD" w:rsidP="00CA26CE">
      <w:pPr>
        <w:pStyle w:val="Header"/>
        <w:rPr>
          <w:bCs/>
          <w:noProof w:val="0"/>
          <w:sz w:val="24"/>
          <w:szCs w:val="24"/>
        </w:rPr>
      </w:pPr>
      <w:r w:rsidRPr="002778BD">
        <w:rPr>
          <w:bCs/>
          <w:noProof w:val="0"/>
          <w:sz w:val="24"/>
          <w:szCs w:val="24"/>
        </w:rPr>
        <w:t xml:space="preserve">e-Meeting, </w:t>
      </w:r>
      <w:r w:rsidR="00500573">
        <w:rPr>
          <w:bCs/>
          <w:noProof w:val="0"/>
          <w:sz w:val="24"/>
          <w:szCs w:val="24"/>
        </w:rPr>
        <w:t>January 25</w:t>
      </w:r>
      <w:r w:rsidR="00500573" w:rsidRPr="00500573">
        <w:rPr>
          <w:bCs/>
          <w:noProof w:val="0"/>
          <w:sz w:val="24"/>
          <w:szCs w:val="24"/>
          <w:vertAlign w:val="superscript"/>
        </w:rPr>
        <w:t>th</w:t>
      </w:r>
      <w:r w:rsidR="00500573">
        <w:rPr>
          <w:bCs/>
          <w:noProof w:val="0"/>
          <w:sz w:val="24"/>
          <w:szCs w:val="24"/>
        </w:rPr>
        <w:t xml:space="preserve"> </w:t>
      </w:r>
      <w:r w:rsidR="00451BAE">
        <w:rPr>
          <w:bCs/>
          <w:noProof w:val="0"/>
          <w:sz w:val="24"/>
          <w:szCs w:val="24"/>
        </w:rPr>
        <w:t xml:space="preserve">– </w:t>
      </w:r>
      <w:r w:rsidR="00500573">
        <w:rPr>
          <w:bCs/>
          <w:noProof w:val="0"/>
          <w:sz w:val="24"/>
          <w:szCs w:val="24"/>
        </w:rPr>
        <w:t>February 5</w:t>
      </w:r>
      <w:r w:rsidR="00500573"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10C6B4E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F3C75">
        <w:rPr>
          <w:rFonts w:cs="Arial"/>
          <w:b/>
          <w:bCs/>
          <w:sz w:val="24"/>
          <w:szCs w:val="24"/>
        </w:rPr>
        <w:t>8.8.1.3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C44E5C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A14BA">
        <w:rPr>
          <w:rFonts w:ascii="Arial" w:hAnsi="Arial" w:cs="Arial"/>
          <w:b/>
          <w:bCs/>
          <w:sz w:val="24"/>
        </w:rPr>
        <w:t>Joint channel estimation for PUSCH coverage enhancement</w:t>
      </w:r>
      <w:r w:rsidR="00842663">
        <w:rPr>
          <w:rFonts w:ascii="Arial" w:hAnsi="Arial" w:cs="Arial"/>
          <w:b/>
          <w:bCs/>
          <w:sz w:val="24"/>
        </w:rPr>
        <w:t>s</w:t>
      </w:r>
      <w:r w:rsidR="00EA14BA">
        <w:rPr>
          <w:rFonts w:ascii="Arial" w:hAnsi="Arial" w:cs="Arial"/>
          <w:b/>
          <w:bCs/>
          <w:sz w:val="24"/>
        </w:rPr>
        <w:t xml:space="preserve">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49BE545" w14:textId="15ADEAE2" w:rsidR="00341E23" w:rsidRPr="00341E23" w:rsidRDefault="00341E23" w:rsidP="0064194B">
      <w:pPr>
        <w:spacing w:after="120"/>
        <w:jc w:val="both"/>
        <w:rPr>
          <w:szCs w:val="22"/>
        </w:rPr>
      </w:pPr>
      <w:bookmarkStart w:id="2" w:name="_Hlk510705081"/>
      <w:r w:rsidRPr="00341E23">
        <w:rPr>
          <w:szCs w:val="22"/>
        </w:rPr>
        <w:t xml:space="preserve">The following can be noted from the work item description (WID) for Rel-17 coverage enhancement </w:t>
      </w:r>
      <w:r w:rsidR="00AE770F">
        <w:rPr>
          <w:szCs w:val="22"/>
          <w:highlight w:val="yellow"/>
        </w:rPr>
        <w:fldChar w:fldCharType="begin"/>
      </w:r>
      <w:r w:rsidR="00AE770F">
        <w:rPr>
          <w:szCs w:val="22"/>
        </w:rPr>
        <w:instrText xml:space="preserve"> REF _Ref60930118 \r \h </w:instrText>
      </w:r>
      <w:r w:rsidR="0064194B">
        <w:rPr>
          <w:szCs w:val="22"/>
          <w:highlight w:val="yellow"/>
        </w:rPr>
        <w:instrText xml:space="preserve"> \* MERGEFORMAT </w:instrText>
      </w:r>
      <w:r w:rsidR="00AE770F">
        <w:rPr>
          <w:szCs w:val="22"/>
          <w:highlight w:val="yellow"/>
        </w:rPr>
      </w:r>
      <w:r w:rsidR="00AE770F">
        <w:rPr>
          <w:szCs w:val="22"/>
          <w:highlight w:val="yellow"/>
        </w:rPr>
        <w:fldChar w:fldCharType="separate"/>
      </w:r>
      <w:r w:rsidR="00AE770F">
        <w:rPr>
          <w:szCs w:val="22"/>
        </w:rPr>
        <w:t>[1]</w:t>
      </w:r>
      <w:r w:rsidR="00AE770F">
        <w:rPr>
          <w:szCs w:val="22"/>
          <w:highlight w:val="yellow"/>
        </w:rPr>
        <w:fldChar w:fldCharType="end"/>
      </w:r>
      <w:r w:rsidRPr="00341E23">
        <w:rPr>
          <w:szCs w:val="22"/>
        </w:rPr>
        <w:t>:</w:t>
      </w:r>
    </w:p>
    <w:p w14:paraId="4BB783C6" w14:textId="77777777" w:rsidR="00341E23" w:rsidRPr="008F7619" w:rsidRDefault="00341E23" w:rsidP="0064194B">
      <w:pPr>
        <w:numPr>
          <w:ilvl w:val="1"/>
          <w:numId w:val="28"/>
        </w:numPr>
        <w:overflowPunct/>
        <w:autoSpaceDE/>
        <w:autoSpaceDN/>
        <w:adjustRightInd/>
        <w:spacing w:before="120" w:after="120"/>
        <w:ind w:hanging="357"/>
        <w:jc w:val="both"/>
        <w:textAlignment w:val="auto"/>
        <w:rPr>
          <w:i/>
          <w:iCs/>
          <w:szCs w:val="22"/>
        </w:rPr>
      </w:pPr>
      <w:r w:rsidRPr="008F7619">
        <w:rPr>
          <w:szCs w:val="22"/>
        </w:rPr>
        <w:t>“</w:t>
      </w:r>
      <w:r w:rsidRPr="008F7619">
        <w:rPr>
          <w:i/>
          <w:iCs/>
          <w:szCs w:val="22"/>
        </w:rPr>
        <w:t>Specify mechanism(s) to enable joint channel estimation [RAN1, RAN4]</w:t>
      </w:r>
    </w:p>
    <w:p w14:paraId="5A47187F" w14:textId="7B9FF1C8" w:rsidR="00341E23" w:rsidRPr="008F7619" w:rsidRDefault="00341E23" w:rsidP="0064194B">
      <w:pPr>
        <w:numPr>
          <w:ilvl w:val="2"/>
          <w:numId w:val="28"/>
        </w:numPr>
        <w:overflowPunct/>
        <w:autoSpaceDE/>
        <w:autoSpaceDN/>
        <w:adjustRightInd/>
        <w:spacing w:before="120" w:after="120"/>
        <w:jc w:val="both"/>
        <w:textAlignment w:val="auto"/>
        <w:rPr>
          <w:i/>
          <w:iCs/>
          <w:szCs w:val="22"/>
        </w:rPr>
      </w:pPr>
      <w:r w:rsidRPr="008F7619">
        <w:rPr>
          <w:i/>
          <w:iCs/>
          <w:szCs w:val="22"/>
        </w:rPr>
        <w:t xml:space="preserve">Mechanism(s) to enable joint channel estimation over multiple PUSCH transmissions, based on the conditions to keep power consistency and phase continuity to be investigated and specified if </w:t>
      </w:r>
      <w:r w:rsidR="00926EC6" w:rsidRPr="008F7619">
        <w:rPr>
          <w:i/>
          <w:iCs/>
          <w:szCs w:val="22"/>
        </w:rPr>
        <w:t>necessary,</w:t>
      </w:r>
      <w:r w:rsidRPr="008F7619">
        <w:rPr>
          <w:i/>
          <w:iCs/>
          <w:szCs w:val="22"/>
        </w:rPr>
        <w:t xml:space="preserve"> by RAN4 [RAN1, RAN4]</w:t>
      </w:r>
    </w:p>
    <w:p w14:paraId="7483AA9B" w14:textId="7889DEF2" w:rsidR="00341E23" w:rsidRPr="008F7619" w:rsidRDefault="00341E23" w:rsidP="0064194B">
      <w:pPr>
        <w:numPr>
          <w:ilvl w:val="3"/>
          <w:numId w:val="28"/>
        </w:numPr>
        <w:suppressAutoHyphens/>
        <w:autoSpaceDE/>
        <w:autoSpaceDN/>
        <w:adjustRightInd/>
        <w:spacing w:before="120" w:after="120"/>
        <w:jc w:val="both"/>
        <w:textAlignment w:val="auto"/>
        <w:rPr>
          <w:i/>
          <w:iCs/>
          <w:szCs w:val="22"/>
        </w:rPr>
      </w:pPr>
      <w:r w:rsidRPr="008F7619">
        <w:rPr>
          <w:i/>
          <w:iCs/>
          <w:szCs w:val="22"/>
        </w:rPr>
        <w:t xml:space="preserve">Potential optimization of </w:t>
      </w:r>
      <w:r w:rsidR="00126CDD" w:rsidRPr="008F7619">
        <w:rPr>
          <w:i/>
          <w:iCs/>
          <w:szCs w:val="22"/>
        </w:rPr>
        <w:t>DM-RS</w:t>
      </w:r>
      <w:r w:rsidRPr="008F7619">
        <w:rPr>
          <w:i/>
          <w:iCs/>
          <w:szCs w:val="22"/>
        </w:rPr>
        <w:t xml:space="preserve"> location/granularity in time domain is not precluded</w:t>
      </w:r>
    </w:p>
    <w:p w14:paraId="7A3500C7" w14:textId="77777777" w:rsidR="00341E23" w:rsidRPr="008F7619" w:rsidRDefault="00341E23" w:rsidP="0064194B">
      <w:pPr>
        <w:numPr>
          <w:ilvl w:val="2"/>
          <w:numId w:val="28"/>
        </w:numPr>
        <w:overflowPunct/>
        <w:autoSpaceDE/>
        <w:autoSpaceDN/>
        <w:adjustRightInd/>
        <w:spacing w:before="120" w:after="120"/>
        <w:jc w:val="both"/>
        <w:textAlignment w:val="auto"/>
        <w:rPr>
          <w:i/>
          <w:iCs/>
          <w:szCs w:val="22"/>
        </w:rPr>
      </w:pPr>
      <w:r w:rsidRPr="008F7619">
        <w:rPr>
          <w:i/>
          <w:iCs/>
          <w:szCs w:val="22"/>
        </w:rPr>
        <w:t>Inter-slot frequency hopping with inter-slot bundling to enable joint channel estimation [RAN1]”</w:t>
      </w:r>
    </w:p>
    <w:p w14:paraId="1E763D97" w14:textId="5976C69D" w:rsidR="00341E23" w:rsidRPr="00341E23" w:rsidRDefault="00341E23" w:rsidP="0064194B">
      <w:pPr>
        <w:spacing w:before="120" w:after="120"/>
        <w:jc w:val="both"/>
        <w:rPr>
          <w:szCs w:val="22"/>
        </w:rPr>
      </w:pPr>
      <w:r w:rsidRPr="00341E23">
        <w:rPr>
          <w:szCs w:val="22"/>
        </w:rPr>
        <w:t>This new feature targets improving the channel estimation quality for the demodulation of PUSCH at the</w:t>
      </w:r>
      <w:r w:rsidR="007F4F36">
        <w:rPr>
          <w:szCs w:val="22"/>
        </w:rPr>
        <w:t xml:space="preserve"> </w:t>
      </w:r>
      <w:r w:rsidRPr="00341E23">
        <w:rPr>
          <w:szCs w:val="22"/>
        </w:rPr>
        <w:t xml:space="preserve">receiver by using jointly the </w:t>
      </w:r>
      <w:r w:rsidR="00126CDD">
        <w:rPr>
          <w:szCs w:val="22"/>
        </w:rPr>
        <w:t>DM-RS</w:t>
      </w:r>
      <w:r w:rsidRPr="00341E23">
        <w:rPr>
          <w:szCs w:val="22"/>
        </w:rPr>
        <w:t xml:space="preserve"> symbols among the PUSCH</w:t>
      </w:r>
      <w:r w:rsidR="007F4F36">
        <w:rPr>
          <w:szCs w:val="22"/>
        </w:rPr>
        <w:t>s</w:t>
      </w:r>
      <w:r w:rsidRPr="00341E23">
        <w:rPr>
          <w:szCs w:val="22"/>
        </w:rPr>
        <w:t xml:space="preserve"> that </w:t>
      </w:r>
      <w:r w:rsidR="007F4F36">
        <w:rPr>
          <w:szCs w:val="22"/>
        </w:rPr>
        <w:t>satisfy the requirements</w:t>
      </w:r>
      <w:r w:rsidRPr="00341E23">
        <w:rPr>
          <w:szCs w:val="22"/>
        </w:rPr>
        <w:t xml:space="preserve"> in power consistency and phase continuity</w:t>
      </w:r>
      <w:r w:rsidR="007F4F36">
        <w:rPr>
          <w:szCs w:val="22"/>
        </w:rPr>
        <w:t>, which will be identified by RAN4. In this document, we discuss potential issues and the associated specification works for specifying the new feature in Rel-17.</w:t>
      </w:r>
    </w:p>
    <w:p w14:paraId="0C2CF73F" w14:textId="77777777" w:rsidR="000867B8" w:rsidRDefault="000867B8" w:rsidP="00A64A6E"/>
    <w:p w14:paraId="71230483" w14:textId="72F9C930" w:rsidR="00305297" w:rsidRDefault="007820D0" w:rsidP="00A23DCA">
      <w:pPr>
        <w:pStyle w:val="Heading1"/>
      </w:pPr>
      <w:r>
        <w:t>Discussion</w:t>
      </w:r>
    </w:p>
    <w:p w14:paraId="73A82122" w14:textId="016EB8A2" w:rsidR="001F201D" w:rsidRDefault="00041983" w:rsidP="00041983">
      <w:pPr>
        <w:pStyle w:val="Heading2"/>
      </w:pPr>
      <w:r>
        <w:t>Mechanism to enable</w:t>
      </w:r>
      <w:r w:rsidR="00C77A46">
        <w:t xml:space="preserve"> cross-slot</w:t>
      </w:r>
      <w:r>
        <w:t xml:space="preserve"> joint channel estimation</w:t>
      </w:r>
    </w:p>
    <w:p w14:paraId="15ADEAA4" w14:textId="463FBD53" w:rsidR="007D7B52" w:rsidRDefault="00FB12A1" w:rsidP="0064194B">
      <w:pPr>
        <w:spacing w:after="120"/>
        <w:jc w:val="both"/>
        <w:rPr>
          <w:szCs w:val="22"/>
          <w:lang w:val="en-GB"/>
        </w:rPr>
      </w:pPr>
      <w:r>
        <w:rPr>
          <w:szCs w:val="22"/>
          <w:lang w:val="en-GB"/>
        </w:rPr>
        <w:t>From a practical perspective,</w:t>
      </w:r>
      <w:r w:rsidR="00C77A46" w:rsidRPr="0085704B">
        <w:rPr>
          <w:szCs w:val="22"/>
          <w:lang w:val="en-GB"/>
        </w:rPr>
        <w:t xml:space="preserve"> cross-slot joint channel estimation is applied </w:t>
      </w:r>
      <w:r w:rsidR="00990092">
        <w:rPr>
          <w:szCs w:val="22"/>
          <w:lang w:val="en-GB"/>
        </w:rPr>
        <w:t>at the receiver</w:t>
      </w:r>
      <w:r w:rsidR="007D07BA">
        <w:rPr>
          <w:szCs w:val="22"/>
          <w:lang w:val="en-GB"/>
        </w:rPr>
        <w:t xml:space="preserve"> and it</w:t>
      </w:r>
      <w:r w:rsidR="00C77A46" w:rsidRPr="0085704B">
        <w:rPr>
          <w:szCs w:val="22"/>
          <w:lang w:val="en-GB"/>
        </w:rPr>
        <w:t xml:space="preserve"> is up to the receiver’s implementation. However,</w:t>
      </w:r>
      <w:r w:rsidR="00DF5CDF" w:rsidRPr="0085704B">
        <w:rPr>
          <w:szCs w:val="22"/>
          <w:lang w:val="en-GB"/>
        </w:rPr>
        <w:t xml:space="preserve"> some signalling procedures still need to be specified to keep the assumptions at the gNB and the UE being aligned</w:t>
      </w:r>
      <w:r>
        <w:rPr>
          <w:szCs w:val="22"/>
          <w:lang w:val="en-GB"/>
        </w:rPr>
        <w:t>, as discussed in this section</w:t>
      </w:r>
      <w:r w:rsidR="00DF5CDF" w:rsidRPr="0085704B">
        <w:rPr>
          <w:szCs w:val="22"/>
          <w:lang w:val="en-GB"/>
        </w:rPr>
        <w:t xml:space="preserve">. </w:t>
      </w:r>
    </w:p>
    <w:p w14:paraId="140C0894" w14:textId="77777777" w:rsidR="00FB12A1" w:rsidRDefault="00FB12A1" w:rsidP="0064194B">
      <w:pPr>
        <w:spacing w:after="120"/>
        <w:jc w:val="both"/>
        <w:rPr>
          <w:szCs w:val="22"/>
          <w:lang w:val="en-GB"/>
        </w:rPr>
      </w:pPr>
    </w:p>
    <w:p w14:paraId="6E1E982E" w14:textId="14705EA0" w:rsidR="00F11C06" w:rsidRPr="00F11C06" w:rsidRDefault="00F11C06" w:rsidP="00CE5562">
      <w:pPr>
        <w:pStyle w:val="Heading3"/>
      </w:pPr>
      <w:r w:rsidRPr="00F11C06">
        <w:t>Triggering method</w:t>
      </w:r>
    </w:p>
    <w:p w14:paraId="19FC8C62" w14:textId="788CFDFE" w:rsidR="006F44D0" w:rsidRPr="00F11C06" w:rsidRDefault="000B721E" w:rsidP="0064194B">
      <w:pPr>
        <w:spacing w:after="120"/>
        <w:jc w:val="both"/>
        <w:rPr>
          <w:szCs w:val="22"/>
          <w:lang w:val="en-GB"/>
        </w:rPr>
      </w:pPr>
      <w:r w:rsidRPr="00F11C06">
        <w:rPr>
          <w:szCs w:val="22"/>
          <w:lang w:val="en-GB"/>
        </w:rPr>
        <w:t>A triggering method</w:t>
      </w:r>
      <w:r w:rsidR="00FB12A1">
        <w:rPr>
          <w:szCs w:val="22"/>
          <w:lang w:val="en-GB"/>
        </w:rPr>
        <w:t xml:space="preserve">, </w:t>
      </w:r>
      <w:r w:rsidR="00F11C06">
        <w:rPr>
          <w:szCs w:val="22"/>
          <w:lang w:val="en-GB"/>
        </w:rPr>
        <w:t xml:space="preserve">or a </w:t>
      </w:r>
      <w:r w:rsidR="00D70024" w:rsidRPr="00F11C06">
        <w:rPr>
          <w:szCs w:val="22"/>
          <w:lang w:val="en-GB"/>
        </w:rPr>
        <w:t>rule</w:t>
      </w:r>
      <w:r w:rsidR="00FB12A1">
        <w:rPr>
          <w:szCs w:val="22"/>
          <w:lang w:val="en-GB"/>
        </w:rPr>
        <w:t>,</w:t>
      </w:r>
      <w:r w:rsidRPr="00F11C06">
        <w:rPr>
          <w:szCs w:val="22"/>
          <w:lang w:val="en-GB"/>
        </w:rPr>
        <w:t xml:space="preserve"> is needed s</w:t>
      </w:r>
      <w:r w:rsidR="008B080C">
        <w:rPr>
          <w:szCs w:val="22"/>
          <w:lang w:val="en-GB"/>
        </w:rPr>
        <w:t>o</w:t>
      </w:r>
      <w:r w:rsidRPr="00F11C06">
        <w:rPr>
          <w:szCs w:val="22"/>
          <w:lang w:val="en-GB"/>
        </w:rPr>
        <w:t xml:space="preserve"> that</w:t>
      </w:r>
      <w:r w:rsidR="0085704B" w:rsidRPr="00F11C06">
        <w:rPr>
          <w:szCs w:val="22"/>
          <w:lang w:val="en-GB"/>
        </w:rPr>
        <w:t xml:space="preserve"> the gNB</w:t>
      </w:r>
      <w:r w:rsidRPr="00F11C06">
        <w:rPr>
          <w:szCs w:val="22"/>
          <w:lang w:val="en-GB"/>
        </w:rPr>
        <w:t xml:space="preserve"> can</w:t>
      </w:r>
      <w:r w:rsidR="0047664E" w:rsidRPr="00F11C06">
        <w:rPr>
          <w:szCs w:val="22"/>
          <w:lang w:val="en-GB"/>
        </w:rPr>
        <w:t xml:space="preserve"> </w:t>
      </w:r>
      <w:r w:rsidR="00304B0B" w:rsidRPr="00F11C06">
        <w:rPr>
          <w:szCs w:val="22"/>
          <w:lang w:val="en-GB"/>
        </w:rPr>
        <w:t>know</w:t>
      </w:r>
      <w:r w:rsidRPr="00F11C06">
        <w:rPr>
          <w:szCs w:val="22"/>
          <w:lang w:val="en-GB"/>
        </w:rPr>
        <w:t xml:space="preserve"> whether</w:t>
      </w:r>
      <w:r w:rsidR="00304B0B" w:rsidRPr="00F11C06">
        <w:rPr>
          <w:szCs w:val="22"/>
          <w:lang w:val="en-GB"/>
        </w:rPr>
        <w:t xml:space="preserve"> the power consistency and phase continuity</w:t>
      </w:r>
      <w:r w:rsidR="00631103" w:rsidRPr="00F11C06">
        <w:rPr>
          <w:szCs w:val="22"/>
          <w:lang w:val="en-GB"/>
        </w:rPr>
        <w:t xml:space="preserve"> </w:t>
      </w:r>
      <w:r w:rsidR="00FB12A1">
        <w:rPr>
          <w:szCs w:val="22"/>
          <w:lang w:val="en-GB"/>
        </w:rPr>
        <w:t xml:space="preserve">requirements </w:t>
      </w:r>
      <w:r w:rsidR="00631103" w:rsidRPr="00F11C06">
        <w:rPr>
          <w:szCs w:val="22"/>
          <w:lang w:val="en-GB"/>
        </w:rPr>
        <w:t>among a certain group of PUSCHs</w:t>
      </w:r>
      <w:r w:rsidR="00304B0B" w:rsidRPr="00F11C06">
        <w:rPr>
          <w:szCs w:val="22"/>
          <w:lang w:val="en-GB"/>
        </w:rPr>
        <w:t xml:space="preserve"> are guaranteed by the UE</w:t>
      </w:r>
      <w:r w:rsidRPr="00F11C06">
        <w:rPr>
          <w:szCs w:val="22"/>
          <w:lang w:val="en-GB"/>
        </w:rPr>
        <w:t xml:space="preserve"> or not.</w:t>
      </w:r>
      <w:r w:rsidR="00631103" w:rsidRPr="00F11C06">
        <w:rPr>
          <w:szCs w:val="22"/>
          <w:lang w:val="en-GB"/>
        </w:rPr>
        <w:t xml:space="preserve"> </w:t>
      </w:r>
    </w:p>
    <w:p w14:paraId="725CF78F" w14:textId="6C894777" w:rsidR="00041983" w:rsidRPr="00F11C06" w:rsidRDefault="00631103" w:rsidP="0064194B">
      <w:pPr>
        <w:spacing w:after="120"/>
        <w:jc w:val="both"/>
        <w:rPr>
          <w:szCs w:val="22"/>
          <w:lang w:val="en-GB"/>
        </w:rPr>
      </w:pPr>
      <w:r w:rsidRPr="00F11C06">
        <w:rPr>
          <w:szCs w:val="22"/>
          <w:lang w:val="en-GB"/>
        </w:rPr>
        <w:t xml:space="preserve">An ideal </w:t>
      </w:r>
      <w:r w:rsidR="000B721E" w:rsidRPr="00F11C06">
        <w:rPr>
          <w:szCs w:val="22"/>
          <w:lang w:val="en-GB"/>
        </w:rPr>
        <w:t>solution</w:t>
      </w:r>
      <w:r w:rsidRPr="00F11C06">
        <w:rPr>
          <w:szCs w:val="22"/>
          <w:lang w:val="en-GB"/>
        </w:rPr>
        <w:t xml:space="preserve">, from joint channel estimation perspective, would be to assume </w:t>
      </w:r>
      <w:r w:rsidR="0064194B">
        <w:rPr>
          <w:szCs w:val="22"/>
          <w:lang w:val="en-GB"/>
        </w:rPr>
        <w:t>that the</w:t>
      </w:r>
      <w:r w:rsidR="000B721E" w:rsidRPr="00F11C06">
        <w:rPr>
          <w:szCs w:val="22"/>
          <w:lang w:val="en-GB"/>
        </w:rPr>
        <w:t xml:space="preserve"> </w:t>
      </w:r>
      <w:r w:rsidR="00D70024" w:rsidRPr="00F11C06">
        <w:rPr>
          <w:szCs w:val="22"/>
          <w:lang w:val="en-GB"/>
        </w:rPr>
        <w:t>UE always</w:t>
      </w:r>
      <w:r w:rsidRPr="00F11C06">
        <w:rPr>
          <w:szCs w:val="22"/>
          <w:lang w:val="en-GB"/>
        </w:rPr>
        <w:t xml:space="preserve"> keep</w:t>
      </w:r>
      <w:r w:rsidR="000B721E" w:rsidRPr="00F11C06">
        <w:rPr>
          <w:szCs w:val="22"/>
          <w:lang w:val="en-GB"/>
        </w:rPr>
        <w:t>s</w:t>
      </w:r>
      <w:r w:rsidRPr="00F11C06">
        <w:rPr>
          <w:szCs w:val="22"/>
          <w:lang w:val="en-GB"/>
        </w:rPr>
        <w:t xml:space="preserve"> these requirements among </w:t>
      </w:r>
      <w:r w:rsidR="007D7B52" w:rsidRPr="00F11C06">
        <w:rPr>
          <w:szCs w:val="22"/>
          <w:lang w:val="en-GB"/>
        </w:rPr>
        <w:t xml:space="preserve">any </w:t>
      </w:r>
      <w:r w:rsidRPr="00F11C06">
        <w:rPr>
          <w:szCs w:val="22"/>
          <w:lang w:val="en-GB"/>
        </w:rPr>
        <w:t>PUSCHs</w:t>
      </w:r>
      <w:r w:rsidR="000B721E" w:rsidRPr="00F11C06">
        <w:rPr>
          <w:szCs w:val="22"/>
          <w:lang w:val="en-GB"/>
        </w:rPr>
        <w:t>,</w:t>
      </w:r>
      <w:r w:rsidR="007D7B52" w:rsidRPr="00F11C06">
        <w:rPr>
          <w:szCs w:val="22"/>
          <w:lang w:val="en-GB"/>
        </w:rPr>
        <w:t xml:space="preserve"> if cross-slot joint channel estimation capability is reported by the UE</w:t>
      </w:r>
      <w:r w:rsidRPr="00F11C06">
        <w:rPr>
          <w:szCs w:val="22"/>
          <w:lang w:val="en-GB"/>
        </w:rPr>
        <w:t>.</w:t>
      </w:r>
      <w:r w:rsidR="007D7B52" w:rsidRPr="00F11C06">
        <w:rPr>
          <w:szCs w:val="22"/>
          <w:lang w:val="en-GB"/>
        </w:rPr>
        <w:t xml:space="preserve"> This approach however could be challenging to be applied in practice not only because it may bring more complexity to the UE but also because </w:t>
      </w:r>
      <w:r w:rsidR="001C3B99" w:rsidRPr="00F11C06">
        <w:rPr>
          <w:szCs w:val="22"/>
          <w:lang w:val="en-GB"/>
        </w:rPr>
        <w:t xml:space="preserve">always assuming these requirements </w:t>
      </w:r>
      <w:r w:rsidR="006F44D0" w:rsidRPr="00F11C06">
        <w:rPr>
          <w:szCs w:val="22"/>
          <w:lang w:val="en-GB"/>
        </w:rPr>
        <w:t>may</w:t>
      </w:r>
      <w:r w:rsidR="001C3B99" w:rsidRPr="00F11C06">
        <w:rPr>
          <w:szCs w:val="22"/>
          <w:lang w:val="en-GB"/>
        </w:rPr>
        <w:t xml:space="preserve"> reduce the flexibility of PUSCH scheduling</w:t>
      </w:r>
      <w:r w:rsidR="006F44D0" w:rsidRPr="00F11C06">
        <w:rPr>
          <w:szCs w:val="22"/>
          <w:lang w:val="en-GB"/>
        </w:rPr>
        <w:t>, e.g. URLLC and eMBB services would require different transmission powers and precoders</w:t>
      </w:r>
      <w:r w:rsidR="001C3B99" w:rsidRPr="00F11C06">
        <w:rPr>
          <w:szCs w:val="22"/>
          <w:lang w:val="en-GB"/>
        </w:rPr>
        <w:t>.</w:t>
      </w:r>
      <w:r w:rsidR="006F44D0" w:rsidRPr="00F11C06">
        <w:rPr>
          <w:szCs w:val="22"/>
          <w:lang w:val="en-GB"/>
        </w:rPr>
        <w:t xml:space="preserve"> In this regard, joint channel estimation should only be applied across PUSCHs that are associated with the same service type, i.e. same PHY priority.</w:t>
      </w:r>
    </w:p>
    <w:p w14:paraId="18B421B9" w14:textId="391489F3" w:rsidR="002871BB" w:rsidRDefault="006F44D0" w:rsidP="0064194B">
      <w:pPr>
        <w:spacing w:after="120"/>
        <w:jc w:val="both"/>
        <w:rPr>
          <w:szCs w:val="22"/>
          <w:lang w:val="en-GB"/>
        </w:rPr>
      </w:pPr>
      <w:r w:rsidRPr="00F11C06">
        <w:rPr>
          <w:szCs w:val="22"/>
          <w:lang w:val="en-GB"/>
        </w:rPr>
        <w:t>Another direction</w:t>
      </w:r>
      <w:r w:rsidR="002871BB" w:rsidRPr="00F11C06">
        <w:rPr>
          <w:szCs w:val="22"/>
          <w:lang w:val="en-GB"/>
        </w:rPr>
        <w:t>, which seems to be more reasonable, is to allow the gNB to enable and disable these requirements for the UE.</w:t>
      </w:r>
      <w:r w:rsidR="004B00D9" w:rsidRPr="00F11C06">
        <w:rPr>
          <w:szCs w:val="22"/>
          <w:lang w:val="en-GB"/>
        </w:rPr>
        <w:t xml:space="preserve"> This indication from the gNB can be dynamic</w:t>
      </w:r>
      <w:r w:rsidR="00A76977" w:rsidRPr="00F11C06">
        <w:rPr>
          <w:szCs w:val="22"/>
          <w:lang w:val="en-GB"/>
        </w:rPr>
        <w:t xml:space="preserve">, </w:t>
      </w:r>
      <w:r w:rsidR="004B00D9" w:rsidRPr="00F11C06">
        <w:rPr>
          <w:szCs w:val="22"/>
          <w:lang w:val="en-GB"/>
        </w:rPr>
        <w:t>i.e.</w:t>
      </w:r>
      <w:r w:rsidR="00A76977" w:rsidRPr="00F11C06">
        <w:rPr>
          <w:szCs w:val="22"/>
          <w:lang w:val="en-GB"/>
        </w:rPr>
        <w:t>,</w:t>
      </w:r>
      <w:r w:rsidR="004B00D9" w:rsidRPr="00F11C06">
        <w:rPr>
          <w:szCs w:val="22"/>
          <w:lang w:val="en-GB"/>
        </w:rPr>
        <w:t xml:space="preserve"> directly enable and disable using a field in the scheduling DCI</w:t>
      </w:r>
      <w:r w:rsidR="00A76977" w:rsidRPr="00F11C06">
        <w:rPr>
          <w:szCs w:val="22"/>
          <w:lang w:val="en-GB"/>
        </w:rPr>
        <w:t xml:space="preserve"> and all scheduled PUSCHs, within the period when the requirements are enabled </w:t>
      </w:r>
      <w:r w:rsidR="00A76977" w:rsidRPr="00F11C06">
        <w:rPr>
          <w:szCs w:val="22"/>
          <w:lang w:val="en-GB"/>
        </w:rPr>
        <w:lastRenderedPageBreak/>
        <w:t>until they are disabled, should satisfy the power consistency and phase continuity</w:t>
      </w:r>
      <w:r w:rsidR="000B721E" w:rsidRPr="00F11C06">
        <w:rPr>
          <w:szCs w:val="22"/>
          <w:lang w:val="en-GB"/>
        </w:rPr>
        <w:t xml:space="preserve"> requirements</w:t>
      </w:r>
      <w:r w:rsidR="00A76977" w:rsidRPr="00F11C06">
        <w:rPr>
          <w:szCs w:val="22"/>
          <w:lang w:val="en-GB"/>
        </w:rPr>
        <w:t>.</w:t>
      </w:r>
      <w:r w:rsidR="004B00D9" w:rsidRPr="00F11C06">
        <w:rPr>
          <w:szCs w:val="22"/>
          <w:lang w:val="en-GB"/>
        </w:rPr>
        <w:t xml:space="preserve"> </w:t>
      </w:r>
      <w:r w:rsidR="00A76977" w:rsidRPr="00F11C06">
        <w:rPr>
          <w:szCs w:val="22"/>
          <w:lang w:val="en-GB"/>
        </w:rPr>
        <w:t>This of course</w:t>
      </w:r>
      <w:r w:rsidR="000B721E" w:rsidRPr="00F11C06">
        <w:rPr>
          <w:szCs w:val="22"/>
          <w:lang w:val="en-GB"/>
        </w:rPr>
        <w:t xml:space="preserve"> can</w:t>
      </w:r>
      <w:r w:rsidR="00A76977" w:rsidRPr="00F11C06">
        <w:rPr>
          <w:szCs w:val="22"/>
          <w:lang w:val="en-GB"/>
        </w:rPr>
        <w:t xml:space="preserve"> also be done by using other</w:t>
      </w:r>
      <w:r w:rsidR="004978D9" w:rsidRPr="00F11C06">
        <w:rPr>
          <w:szCs w:val="22"/>
          <w:lang w:val="en-GB"/>
        </w:rPr>
        <w:t xml:space="preserve"> indirect approach</w:t>
      </w:r>
      <w:r w:rsidR="000B721E" w:rsidRPr="00F11C06">
        <w:rPr>
          <w:szCs w:val="22"/>
          <w:lang w:val="en-GB"/>
        </w:rPr>
        <w:t>es</w:t>
      </w:r>
      <w:r w:rsidR="004978D9" w:rsidRPr="00F11C06">
        <w:rPr>
          <w:szCs w:val="22"/>
          <w:lang w:val="en-GB"/>
        </w:rPr>
        <w:t xml:space="preserve"> such as MAC CE indication or</w:t>
      </w:r>
      <w:r w:rsidR="004B00D9" w:rsidRPr="00F11C06">
        <w:rPr>
          <w:szCs w:val="22"/>
          <w:lang w:val="en-GB"/>
        </w:rPr>
        <w:t xml:space="preserve"> RRC</w:t>
      </w:r>
      <w:r w:rsidR="004978D9" w:rsidRPr="00F11C06">
        <w:rPr>
          <w:szCs w:val="22"/>
          <w:lang w:val="en-GB"/>
        </w:rPr>
        <w:t xml:space="preserve"> reconfiguration</w:t>
      </w:r>
      <w:r w:rsidR="004B00D9" w:rsidRPr="00F11C06">
        <w:rPr>
          <w:szCs w:val="22"/>
          <w:lang w:val="en-GB"/>
        </w:rPr>
        <w:t>.</w:t>
      </w:r>
      <w:r w:rsidR="006F0D9A" w:rsidRPr="00F11C06">
        <w:rPr>
          <w:szCs w:val="22"/>
          <w:lang w:val="en-GB"/>
        </w:rPr>
        <w:t xml:space="preserve"> The aforementioned </w:t>
      </w:r>
      <w:r w:rsidR="000912A4" w:rsidRPr="00F11C06">
        <w:rPr>
          <w:szCs w:val="22"/>
          <w:lang w:val="en-GB"/>
        </w:rPr>
        <w:t>impact on</w:t>
      </w:r>
      <w:r w:rsidR="006F0D9A" w:rsidRPr="00F11C06">
        <w:rPr>
          <w:szCs w:val="22"/>
          <w:lang w:val="en-GB"/>
        </w:rPr>
        <w:t xml:space="preserve"> scheduling of URLLC and eMBB services is minimized </w:t>
      </w:r>
      <w:r w:rsidR="000912A4" w:rsidRPr="00F11C06">
        <w:rPr>
          <w:szCs w:val="22"/>
          <w:lang w:val="en-GB"/>
        </w:rPr>
        <w:t xml:space="preserve">in this case since the gNB can trigger joint channel estimation functionality only when the UE </w:t>
      </w:r>
      <w:r w:rsidR="007940C2">
        <w:rPr>
          <w:szCs w:val="22"/>
          <w:lang w:val="en-GB"/>
        </w:rPr>
        <w:t>experiences coverage shortage</w:t>
      </w:r>
      <w:r w:rsidR="000912A4" w:rsidRPr="00F11C06">
        <w:rPr>
          <w:szCs w:val="22"/>
          <w:lang w:val="en-GB"/>
        </w:rPr>
        <w:t>, wherein both URLLC and eMBB PUSCH may need to be operated at the same</w:t>
      </w:r>
      <w:r w:rsidR="00187809" w:rsidRPr="00F11C06">
        <w:rPr>
          <w:szCs w:val="22"/>
          <w:lang w:val="en-GB"/>
        </w:rPr>
        <w:t xml:space="preserve"> (maximum)</w:t>
      </w:r>
      <w:r w:rsidR="000912A4" w:rsidRPr="00F11C06">
        <w:rPr>
          <w:szCs w:val="22"/>
          <w:lang w:val="en-GB"/>
        </w:rPr>
        <w:t xml:space="preserve"> power already.</w:t>
      </w:r>
    </w:p>
    <w:p w14:paraId="171B2BD0" w14:textId="0A797F50" w:rsidR="00F11C06" w:rsidRDefault="006E3CC6" w:rsidP="006E3CC6">
      <w:pPr>
        <w:rPr>
          <w:b/>
          <w:bCs/>
          <w:szCs w:val="22"/>
          <w:lang w:val="en-GB"/>
        </w:rPr>
      </w:pPr>
      <w:bookmarkStart w:id="3" w:name="_Toc61887413"/>
      <w:r w:rsidRPr="006E3CC6">
        <w:rPr>
          <w:b/>
          <w:bCs/>
          <w:szCs w:val="22"/>
        </w:rPr>
        <w:t xml:space="preserve">Proposal </w:t>
      </w:r>
      <w:r w:rsidRPr="006E3CC6">
        <w:rPr>
          <w:b/>
          <w:bCs/>
          <w:szCs w:val="22"/>
        </w:rPr>
        <w:fldChar w:fldCharType="begin"/>
      </w:r>
      <w:r w:rsidRPr="006E3CC6">
        <w:rPr>
          <w:b/>
          <w:bCs/>
          <w:szCs w:val="22"/>
        </w:rPr>
        <w:instrText xml:space="preserve"> SEQ Proposal \* ARABIC </w:instrText>
      </w:r>
      <w:r w:rsidRPr="006E3CC6">
        <w:rPr>
          <w:b/>
          <w:bCs/>
          <w:szCs w:val="22"/>
        </w:rPr>
        <w:fldChar w:fldCharType="separate"/>
      </w:r>
      <w:r>
        <w:rPr>
          <w:b/>
          <w:bCs/>
          <w:noProof/>
          <w:szCs w:val="22"/>
        </w:rPr>
        <w:t>1</w:t>
      </w:r>
      <w:r w:rsidRPr="006E3CC6">
        <w:rPr>
          <w:b/>
          <w:bCs/>
          <w:szCs w:val="22"/>
        </w:rPr>
        <w:fldChar w:fldCharType="end"/>
      </w:r>
      <w:r w:rsidRPr="006E3CC6">
        <w:rPr>
          <w:b/>
          <w:bCs/>
          <w:szCs w:val="22"/>
        </w:rPr>
        <w:t>.</w:t>
      </w:r>
      <w:r w:rsidRPr="00B066E0">
        <w:rPr>
          <w:szCs w:val="22"/>
        </w:rPr>
        <w:t xml:space="preserve"> </w:t>
      </w:r>
      <w:r w:rsidR="0064194B">
        <w:rPr>
          <w:b/>
          <w:bCs/>
          <w:szCs w:val="22"/>
          <w:lang w:val="en-GB"/>
        </w:rPr>
        <w:t>RAN1 to specify an</w:t>
      </w:r>
      <w:r w:rsidR="000217CA">
        <w:rPr>
          <w:b/>
          <w:bCs/>
          <w:szCs w:val="22"/>
          <w:lang w:val="en-GB"/>
        </w:rPr>
        <w:t xml:space="preserve"> indication method letting the gNB enable/disable the power consistency and phase continuity requirements for the UE.</w:t>
      </w:r>
      <w:bookmarkEnd w:id="3"/>
    </w:p>
    <w:p w14:paraId="16F0B1FD" w14:textId="7C553E98" w:rsidR="000217CA" w:rsidRPr="000217CA" w:rsidRDefault="000217CA" w:rsidP="0064194B">
      <w:pPr>
        <w:pStyle w:val="ListParagraph"/>
        <w:numPr>
          <w:ilvl w:val="0"/>
          <w:numId w:val="33"/>
        </w:numPr>
        <w:spacing w:after="120"/>
        <w:jc w:val="both"/>
        <w:rPr>
          <w:b/>
          <w:bCs/>
          <w:szCs w:val="22"/>
          <w:lang w:val="en-GB"/>
        </w:rPr>
      </w:pPr>
      <w:r>
        <w:rPr>
          <w:b/>
          <w:bCs/>
          <w:szCs w:val="22"/>
          <w:lang w:val="en-GB"/>
        </w:rPr>
        <w:t>FFS: Details of the indication methodology</w:t>
      </w:r>
      <w:r w:rsidR="006E3CC6">
        <w:rPr>
          <w:b/>
          <w:bCs/>
          <w:szCs w:val="22"/>
          <w:lang w:val="en-GB"/>
        </w:rPr>
        <w:t>,</w:t>
      </w:r>
      <w:r>
        <w:rPr>
          <w:b/>
          <w:bCs/>
          <w:szCs w:val="22"/>
          <w:lang w:val="en-GB"/>
        </w:rPr>
        <w:t xml:space="preserve"> e.g.</w:t>
      </w:r>
      <w:r w:rsidR="006E3CC6">
        <w:rPr>
          <w:b/>
          <w:bCs/>
          <w:szCs w:val="22"/>
          <w:lang w:val="en-GB"/>
        </w:rPr>
        <w:t>,</w:t>
      </w:r>
      <w:r>
        <w:rPr>
          <w:b/>
          <w:bCs/>
          <w:szCs w:val="22"/>
          <w:lang w:val="en-GB"/>
        </w:rPr>
        <w:t xml:space="preserve"> dynamic/semi-static etc.</w:t>
      </w:r>
    </w:p>
    <w:p w14:paraId="23F0F011" w14:textId="088E86AC" w:rsidR="008B080C" w:rsidRPr="008B080C" w:rsidRDefault="008B080C" w:rsidP="0064194B">
      <w:pPr>
        <w:pStyle w:val="ListParagraph"/>
        <w:numPr>
          <w:ilvl w:val="0"/>
          <w:numId w:val="33"/>
        </w:numPr>
        <w:spacing w:after="120"/>
        <w:jc w:val="both"/>
        <w:rPr>
          <w:b/>
          <w:bCs/>
          <w:szCs w:val="22"/>
          <w:lang w:val="en-GB"/>
        </w:rPr>
      </w:pPr>
      <w:r w:rsidRPr="008B080C">
        <w:rPr>
          <w:b/>
          <w:bCs/>
          <w:szCs w:val="22"/>
          <w:lang w:val="en-GB"/>
        </w:rPr>
        <w:t xml:space="preserve">FFS: </w:t>
      </w:r>
      <w:r w:rsidR="000217CA">
        <w:rPr>
          <w:b/>
          <w:bCs/>
          <w:szCs w:val="22"/>
          <w:lang w:val="en-GB"/>
        </w:rPr>
        <w:t>W</w:t>
      </w:r>
      <w:r w:rsidRPr="008B080C">
        <w:rPr>
          <w:b/>
          <w:bCs/>
          <w:szCs w:val="22"/>
          <w:lang w:val="en-GB"/>
        </w:rPr>
        <w:t>hether any restriction should be applied, e.g.</w:t>
      </w:r>
      <w:r w:rsidR="006E3CC6">
        <w:rPr>
          <w:b/>
          <w:bCs/>
          <w:szCs w:val="22"/>
          <w:lang w:val="en-GB"/>
        </w:rPr>
        <w:t>,</w:t>
      </w:r>
      <w:r w:rsidRPr="008B080C">
        <w:rPr>
          <w:b/>
          <w:bCs/>
          <w:szCs w:val="22"/>
          <w:lang w:val="en-GB"/>
        </w:rPr>
        <w:t xml:space="preserve"> joint channel estimation is only applied across PUSCH with the same PHY priority, or joint channel estimation is only applied across repetitions of the same PUSCH transmission.</w:t>
      </w:r>
    </w:p>
    <w:p w14:paraId="12466223" w14:textId="77777777" w:rsidR="00D52A86" w:rsidRPr="00AE08CC" w:rsidRDefault="00D52A86" w:rsidP="00F11C06">
      <w:pPr>
        <w:spacing w:after="120" w:line="276" w:lineRule="auto"/>
        <w:jc w:val="both"/>
        <w:rPr>
          <w:b/>
          <w:bCs/>
          <w:szCs w:val="22"/>
          <w:lang w:val="en-GB"/>
        </w:rPr>
      </w:pPr>
    </w:p>
    <w:p w14:paraId="48063675" w14:textId="0B6A05F7" w:rsidR="00F11C06" w:rsidRPr="00AE08CC" w:rsidRDefault="00AE08CC" w:rsidP="00CE5562">
      <w:pPr>
        <w:pStyle w:val="Heading3"/>
      </w:pPr>
      <w:r w:rsidRPr="00AE08CC">
        <w:t>Window size definition and indication</w:t>
      </w:r>
    </w:p>
    <w:p w14:paraId="3A1CDB92" w14:textId="3C3273AF" w:rsidR="00F11C06" w:rsidRDefault="00B87851" w:rsidP="0064194B">
      <w:pPr>
        <w:spacing w:after="120"/>
        <w:jc w:val="both"/>
        <w:rPr>
          <w:szCs w:val="22"/>
        </w:rPr>
      </w:pPr>
      <w:r w:rsidRPr="00AE08CC">
        <w:rPr>
          <w:szCs w:val="22"/>
        </w:rPr>
        <w:t xml:space="preserve">Assuming power consistency and phase continuity are guaranteed for all PUSCH transmissions whenever joint channel estimation feature is </w:t>
      </w:r>
      <w:r w:rsidR="00D70024" w:rsidRPr="00AE08CC">
        <w:rPr>
          <w:szCs w:val="22"/>
        </w:rPr>
        <w:t>enabled</w:t>
      </w:r>
      <w:r w:rsidRPr="00AE08CC">
        <w:rPr>
          <w:szCs w:val="22"/>
        </w:rPr>
        <w:t xml:space="preserve"> </w:t>
      </w:r>
      <w:r w:rsidR="007940C2">
        <w:rPr>
          <w:szCs w:val="22"/>
        </w:rPr>
        <w:t>may entail a significant implementation burden at</w:t>
      </w:r>
      <w:r w:rsidRPr="00AE08CC">
        <w:rPr>
          <w:szCs w:val="22"/>
        </w:rPr>
        <w:t xml:space="preserve"> the UE side, especially for the case when these conditions </w:t>
      </w:r>
      <w:r w:rsidR="00AE08CC">
        <w:rPr>
          <w:szCs w:val="22"/>
        </w:rPr>
        <w:t>should</w:t>
      </w:r>
      <w:r w:rsidRPr="00AE08CC">
        <w:rPr>
          <w:szCs w:val="22"/>
        </w:rPr>
        <w:t xml:space="preserve"> be guaranteed across PUSCH segments that are not back-to-back. This may end up</w:t>
      </w:r>
      <w:r w:rsidR="007940C2">
        <w:rPr>
          <w:szCs w:val="22"/>
        </w:rPr>
        <w:t xml:space="preserve"> reducing the number of </w:t>
      </w:r>
      <w:r w:rsidRPr="00AE08CC">
        <w:rPr>
          <w:szCs w:val="22"/>
        </w:rPr>
        <w:t xml:space="preserve">UEs </w:t>
      </w:r>
      <w:r w:rsidR="007940C2">
        <w:rPr>
          <w:szCs w:val="22"/>
        </w:rPr>
        <w:t>which would</w:t>
      </w:r>
      <w:r w:rsidRPr="00AE08CC">
        <w:rPr>
          <w:szCs w:val="22"/>
        </w:rPr>
        <w:t xml:space="preserve"> report </w:t>
      </w:r>
      <w:r w:rsidR="007940C2">
        <w:rPr>
          <w:szCs w:val="22"/>
        </w:rPr>
        <w:t xml:space="preserve">the support of </w:t>
      </w:r>
      <w:r w:rsidRPr="00AE08CC">
        <w:rPr>
          <w:szCs w:val="22"/>
        </w:rPr>
        <w:t>such</w:t>
      </w:r>
      <w:r w:rsidR="007940C2">
        <w:rPr>
          <w:szCs w:val="22"/>
        </w:rPr>
        <w:t xml:space="preserve"> </w:t>
      </w:r>
      <w:r w:rsidRPr="00AE08CC">
        <w:rPr>
          <w:szCs w:val="22"/>
        </w:rPr>
        <w:t>feature, for implementation simplicity. Therefore, a limitation on the window size within which power consistency and phase continuity can be guaranteed across PUSCHs should be defined.</w:t>
      </w:r>
      <w:r w:rsidR="00D70024" w:rsidRPr="00AE08CC">
        <w:rPr>
          <w:szCs w:val="22"/>
        </w:rPr>
        <w:t xml:space="preserve"> </w:t>
      </w:r>
    </w:p>
    <w:p w14:paraId="41665EC8" w14:textId="34F6F961" w:rsidR="004826EC" w:rsidRDefault="00CE5562" w:rsidP="0064194B">
      <w:pPr>
        <w:spacing w:after="120"/>
        <w:jc w:val="both"/>
        <w:rPr>
          <w:szCs w:val="22"/>
        </w:rPr>
      </w:pPr>
      <w:r>
        <w:rPr>
          <w:szCs w:val="22"/>
        </w:rPr>
        <w:t>In case t</w:t>
      </w:r>
      <w:r w:rsidR="005E0DD7" w:rsidRPr="00CE5562">
        <w:rPr>
          <w:szCs w:val="22"/>
        </w:rPr>
        <w:t>he joint channel estimation feature is dynamically enabled/disable</w:t>
      </w:r>
      <w:r w:rsidR="00E10CC2" w:rsidRPr="00CE5562">
        <w:rPr>
          <w:szCs w:val="22"/>
        </w:rPr>
        <w:t>d</w:t>
      </w:r>
      <w:r w:rsidR="005E0DD7" w:rsidRPr="00CE5562">
        <w:rPr>
          <w:szCs w:val="22"/>
        </w:rPr>
        <w:t xml:space="preserve"> by a field in the DCI, the gNB can ideally</w:t>
      </w:r>
      <w:r w:rsidR="00E10CC2" w:rsidRPr="00CE5562">
        <w:rPr>
          <w:szCs w:val="22"/>
        </w:rPr>
        <w:t xml:space="preserve"> enable and disable this feature within a period that matches</w:t>
      </w:r>
      <w:r w:rsidR="007940C2">
        <w:rPr>
          <w:szCs w:val="22"/>
        </w:rPr>
        <w:t xml:space="preserve"> </w:t>
      </w:r>
      <w:r w:rsidR="00E10CC2" w:rsidRPr="00CE5562">
        <w:rPr>
          <w:szCs w:val="22"/>
        </w:rPr>
        <w:t>the maximum window size supported by the UE. However,</w:t>
      </w:r>
      <w:r>
        <w:rPr>
          <w:szCs w:val="22"/>
        </w:rPr>
        <w:t xml:space="preserve"> from UE perspective,</w:t>
      </w:r>
      <w:r w:rsidR="00E10CC2" w:rsidRPr="00CE5562">
        <w:rPr>
          <w:szCs w:val="22"/>
        </w:rPr>
        <w:t xml:space="preserve"> there is no guarantee that the gNB w</w:t>
      </w:r>
      <w:r>
        <w:rPr>
          <w:szCs w:val="22"/>
        </w:rPr>
        <w:t>ill always</w:t>
      </w:r>
      <w:r w:rsidR="00E10CC2" w:rsidRPr="00CE5562">
        <w:rPr>
          <w:szCs w:val="22"/>
        </w:rPr>
        <w:t xml:space="preserve"> do that</w:t>
      </w:r>
      <w:r w:rsidR="007940C2">
        <w:rPr>
          <w:szCs w:val="22"/>
        </w:rPr>
        <w:t xml:space="preserve">, </w:t>
      </w:r>
      <w:r w:rsidR="00E10CC2" w:rsidRPr="00CE5562">
        <w:rPr>
          <w:szCs w:val="22"/>
        </w:rPr>
        <w:t>e.g.</w:t>
      </w:r>
      <w:r w:rsidR="007940C2">
        <w:rPr>
          <w:szCs w:val="22"/>
        </w:rPr>
        <w:t>,</w:t>
      </w:r>
      <w:r w:rsidR="00E10CC2" w:rsidRPr="00CE5562">
        <w:rPr>
          <w:szCs w:val="22"/>
        </w:rPr>
        <w:t xml:space="preserve"> in case there is no dynamic PUSCH scheduling</w:t>
      </w:r>
      <w:r w:rsidR="0037238F" w:rsidRPr="00CE5562">
        <w:rPr>
          <w:szCs w:val="22"/>
        </w:rPr>
        <w:t>.</w:t>
      </w:r>
      <w:r>
        <w:rPr>
          <w:szCs w:val="22"/>
        </w:rPr>
        <w:t xml:space="preserve"> This issue is even more critical when t</w:t>
      </w:r>
      <w:r w:rsidRPr="00481139">
        <w:rPr>
          <w:szCs w:val="22"/>
        </w:rPr>
        <w:t>he joint channel estimation feature is enabled/disabled by</w:t>
      </w:r>
      <w:r w:rsidRPr="00481139">
        <w:rPr>
          <w:szCs w:val="22"/>
          <w:lang w:val="en-GB"/>
        </w:rPr>
        <w:t xml:space="preserve"> MAC CE indication or RRC reconfiguration</w:t>
      </w:r>
      <w:r>
        <w:rPr>
          <w:szCs w:val="22"/>
          <w:lang w:val="en-GB"/>
        </w:rPr>
        <w:t>, since it takes time to toggle the indication</w:t>
      </w:r>
      <w:r w:rsidR="00A81FFA">
        <w:rPr>
          <w:szCs w:val="22"/>
          <w:lang w:val="en-GB"/>
        </w:rPr>
        <w:t xml:space="preserve">. </w:t>
      </w:r>
      <w:r w:rsidR="004826EC">
        <w:rPr>
          <w:szCs w:val="22"/>
        </w:rPr>
        <w:t>From the above discussion, we propose the following:</w:t>
      </w:r>
    </w:p>
    <w:p w14:paraId="432E92DC" w14:textId="403B9147" w:rsidR="008B080C" w:rsidRDefault="006E3CC6" w:rsidP="006E3CC6">
      <w:pPr>
        <w:rPr>
          <w:b/>
          <w:bCs/>
          <w:szCs w:val="22"/>
        </w:rPr>
      </w:pPr>
      <w:bookmarkStart w:id="4" w:name="_Toc61887414"/>
      <w:r w:rsidRPr="006E3CC6">
        <w:rPr>
          <w:b/>
          <w:bCs/>
          <w:szCs w:val="22"/>
        </w:rPr>
        <w:t xml:space="preserve">Proposal </w:t>
      </w:r>
      <w:r w:rsidRPr="006E3CC6">
        <w:rPr>
          <w:b/>
          <w:bCs/>
          <w:szCs w:val="22"/>
        </w:rPr>
        <w:fldChar w:fldCharType="begin"/>
      </w:r>
      <w:r w:rsidRPr="006E3CC6">
        <w:rPr>
          <w:b/>
          <w:bCs/>
          <w:szCs w:val="22"/>
        </w:rPr>
        <w:instrText xml:space="preserve"> SEQ Proposal \* ARABIC </w:instrText>
      </w:r>
      <w:r w:rsidRPr="006E3CC6">
        <w:rPr>
          <w:b/>
          <w:bCs/>
          <w:szCs w:val="22"/>
        </w:rPr>
        <w:fldChar w:fldCharType="separate"/>
      </w:r>
      <w:r>
        <w:rPr>
          <w:b/>
          <w:bCs/>
          <w:noProof/>
          <w:szCs w:val="22"/>
        </w:rPr>
        <w:t>2</w:t>
      </w:r>
      <w:r w:rsidRPr="006E3CC6">
        <w:rPr>
          <w:b/>
          <w:bCs/>
          <w:szCs w:val="22"/>
        </w:rPr>
        <w:fldChar w:fldCharType="end"/>
      </w:r>
      <w:r w:rsidRPr="006E3CC6">
        <w:rPr>
          <w:b/>
          <w:bCs/>
          <w:szCs w:val="22"/>
        </w:rPr>
        <w:t>.</w:t>
      </w:r>
      <w:r w:rsidRPr="00B066E0">
        <w:rPr>
          <w:szCs w:val="22"/>
        </w:rPr>
        <w:t xml:space="preserve"> </w:t>
      </w:r>
      <w:r w:rsidR="004826EC" w:rsidRPr="004826EC">
        <w:rPr>
          <w:b/>
          <w:bCs/>
          <w:szCs w:val="22"/>
        </w:rPr>
        <w:t>A</w:t>
      </w:r>
      <w:r w:rsidR="001D076F">
        <w:rPr>
          <w:b/>
          <w:bCs/>
          <w:szCs w:val="22"/>
        </w:rPr>
        <w:t xml:space="preserve"> time-domain</w:t>
      </w:r>
      <w:r w:rsidR="004826EC" w:rsidRPr="004826EC">
        <w:rPr>
          <w:b/>
          <w:bCs/>
          <w:szCs w:val="22"/>
        </w:rPr>
        <w:t xml:space="preserve"> window, within which power consistency and phase continuity </w:t>
      </w:r>
      <w:r w:rsidR="001D076F">
        <w:rPr>
          <w:b/>
          <w:bCs/>
          <w:szCs w:val="22"/>
        </w:rPr>
        <w:t>are</w:t>
      </w:r>
      <w:r w:rsidR="004826EC" w:rsidRPr="004826EC">
        <w:rPr>
          <w:b/>
          <w:bCs/>
          <w:szCs w:val="22"/>
        </w:rPr>
        <w:t xml:space="preserve"> guaranteed across PUSCHs</w:t>
      </w:r>
      <w:r w:rsidR="00F56041">
        <w:rPr>
          <w:b/>
          <w:bCs/>
          <w:szCs w:val="22"/>
        </w:rPr>
        <w:t xml:space="preserve"> for joint channel estimation</w:t>
      </w:r>
      <w:r w:rsidR="004826EC" w:rsidRPr="004826EC">
        <w:rPr>
          <w:b/>
          <w:bCs/>
          <w:szCs w:val="22"/>
        </w:rPr>
        <w:t xml:space="preserve">, should be </w:t>
      </w:r>
      <w:r w:rsidR="00A81FFA">
        <w:rPr>
          <w:b/>
          <w:bCs/>
          <w:szCs w:val="22"/>
        </w:rPr>
        <w:t>configured by gNB</w:t>
      </w:r>
      <w:r w:rsidR="004826EC" w:rsidRPr="004826EC">
        <w:rPr>
          <w:b/>
          <w:bCs/>
          <w:szCs w:val="22"/>
        </w:rPr>
        <w:t>.</w:t>
      </w:r>
      <w:bookmarkEnd w:id="4"/>
    </w:p>
    <w:p w14:paraId="56CEA097" w14:textId="69CF9F34" w:rsidR="00F341EE" w:rsidRPr="006F0319" w:rsidRDefault="001D076F" w:rsidP="006F0319">
      <w:pPr>
        <w:pStyle w:val="ListParagraph"/>
        <w:numPr>
          <w:ilvl w:val="0"/>
          <w:numId w:val="34"/>
        </w:numPr>
        <w:spacing w:after="120"/>
        <w:jc w:val="both"/>
        <w:rPr>
          <w:szCs w:val="22"/>
        </w:rPr>
      </w:pPr>
      <w:r w:rsidRPr="001D076F">
        <w:rPr>
          <w:b/>
          <w:bCs/>
          <w:szCs w:val="22"/>
          <w:lang w:val="en-US"/>
        </w:rPr>
        <w:t xml:space="preserve">FFS: Definition of the </w:t>
      </w:r>
      <w:r w:rsidR="00A81FFA">
        <w:rPr>
          <w:b/>
          <w:bCs/>
          <w:szCs w:val="22"/>
          <w:lang w:val="en-US"/>
        </w:rPr>
        <w:t xml:space="preserve">details of </w:t>
      </w:r>
      <w:r w:rsidRPr="001D076F">
        <w:rPr>
          <w:b/>
          <w:bCs/>
          <w:szCs w:val="22"/>
          <w:lang w:val="en-US"/>
        </w:rPr>
        <w:t>time-domain window</w:t>
      </w:r>
      <w:r w:rsidR="00A81FFA">
        <w:rPr>
          <w:b/>
          <w:bCs/>
          <w:szCs w:val="22"/>
          <w:lang w:val="en-US"/>
        </w:rPr>
        <w:t xml:space="preserve"> configuration and indication</w:t>
      </w:r>
      <w:r w:rsidR="006F0319">
        <w:rPr>
          <w:b/>
          <w:bCs/>
          <w:szCs w:val="22"/>
          <w:lang w:val="en-US"/>
        </w:rPr>
        <w:t>.</w:t>
      </w:r>
    </w:p>
    <w:p w14:paraId="5D1B6D6C" w14:textId="77777777" w:rsidR="006F0319" w:rsidRPr="00F56041" w:rsidRDefault="006F0319" w:rsidP="006F0319">
      <w:pPr>
        <w:pStyle w:val="ListParagraph"/>
        <w:spacing w:after="120"/>
        <w:jc w:val="both"/>
        <w:rPr>
          <w:szCs w:val="22"/>
        </w:rPr>
      </w:pPr>
    </w:p>
    <w:p w14:paraId="1F04EC57" w14:textId="3FFD1CFF" w:rsidR="00041983" w:rsidRDefault="00041983" w:rsidP="00041983">
      <w:pPr>
        <w:pStyle w:val="Heading2"/>
      </w:pPr>
      <w:r>
        <w:t xml:space="preserve">Potential optimization of </w:t>
      </w:r>
      <w:r w:rsidR="00126CDD">
        <w:t>DM-RS</w:t>
      </w:r>
      <w:r>
        <w:t xml:space="preserve"> allocation in time-domain</w:t>
      </w:r>
    </w:p>
    <w:p w14:paraId="39EEBCB2" w14:textId="79CB2CF7" w:rsidR="00CC11C2" w:rsidRDefault="006F0319" w:rsidP="00126CDD">
      <w:pPr>
        <w:jc w:val="both"/>
        <w:rPr>
          <w:rFonts w:cs="Arial"/>
          <w:szCs w:val="22"/>
        </w:rPr>
      </w:pPr>
      <w:r>
        <w:rPr>
          <w:szCs w:val="22"/>
          <w:lang w:val="en-GB"/>
        </w:rPr>
        <w:t>According to the WID, p</w:t>
      </w:r>
      <w:r w:rsidR="008B080C" w:rsidRPr="008B080C">
        <w:rPr>
          <w:szCs w:val="22"/>
          <w:lang w:val="en-GB"/>
        </w:rPr>
        <w:t xml:space="preserve">otential optimization of </w:t>
      </w:r>
      <w:r w:rsidR="00126CDD">
        <w:rPr>
          <w:szCs w:val="22"/>
          <w:lang w:val="en-GB"/>
        </w:rPr>
        <w:t>DM-RS</w:t>
      </w:r>
      <w:r w:rsidR="008B080C" w:rsidRPr="008B080C">
        <w:rPr>
          <w:szCs w:val="22"/>
          <w:lang w:val="en-GB"/>
        </w:rPr>
        <w:t xml:space="preserve"> location/granularity in time domain is not precluded</w:t>
      </w:r>
      <w:r w:rsidR="005B4655">
        <w:rPr>
          <w:szCs w:val="22"/>
          <w:lang w:val="en-GB"/>
        </w:rPr>
        <w:t xml:space="preserve"> in this feature.</w:t>
      </w:r>
      <w:r w:rsidR="00126CDD">
        <w:rPr>
          <w:szCs w:val="22"/>
          <w:lang w:val="en-GB"/>
        </w:rPr>
        <w:t xml:space="preserve"> Indeed, </w:t>
      </w:r>
      <w:r w:rsidR="000B6B92">
        <w:rPr>
          <w:szCs w:val="22"/>
          <w:lang w:val="en-GB"/>
        </w:rPr>
        <w:t xml:space="preserve">potential issues </w:t>
      </w:r>
      <w:r>
        <w:rPr>
          <w:szCs w:val="22"/>
          <w:lang w:val="en-GB"/>
        </w:rPr>
        <w:t>may occur if suitable countermeasures are not taken</w:t>
      </w:r>
      <w:r w:rsidR="000B6B92">
        <w:rPr>
          <w:szCs w:val="22"/>
          <w:lang w:val="en-GB"/>
        </w:rPr>
        <w:t>.</w:t>
      </w:r>
      <w:r w:rsidR="00CC11C2">
        <w:rPr>
          <w:szCs w:val="22"/>
          <w:lang w:val="en-GB"/>
        </w:rPr>
        <w:t xml:space="preserve"> </w:t>
      </w:r>
      <w:r w:rsidR="00CC11C2">
        <w:rPr>
          <w:szCs w:val="22"/>
          <w:lang w:val="en-GB"/>
        </w:rPr>
        <w:fldChar w:fldCharType="begin"/>
      </w:r>
      <w:r w:rsidR="00CC11C2">
        <w:rPr>
          <w:szCs w:val="22"/>
          <w:lang w:val="en-GB"/>
        </w:rPr>
        <w:instrText xml:space="preserve"> REF _Ref60847120 \h </w:instrText>
      </w:r>
      <w:r w:rsidR="00CC11C2">
        <w:rPr>
          <w:szCs w:val="22"/>
          <w:lang w:val="en-GB"/>
        </w:rPr>
      </w:r>
      <w:r w:rsidR="00CC11C2">
        <w:rPr>
          <w:szCs w:val="22"/>
          <w:lang w:val="en-GB"/>
        </w:rPr>
        <w:fldChar w:fldCharType="separate"/>
      </w:r>
      <w:r w:rsidR="00CC11C2">
        <w:t xml:space="preserve">Figure </w:t>
      </w:r>
      <w:r w:rsidR="00CC11C2">
        <w:rPr>
          <w:noProof/>
        </w:rPr>
        <w:t>2</w:t>
      </w:r>
      <w:r w:rsidR="00CC11C2">
        <w:rPr>
          <w:szCs w:val="22"/>
          <w:lang w:val="en-GB"/>
        </w:rPr>
        <w:fldChar w:fldCharType="end"/>
      </w:r>
      <w:r w:rsidR="00CC11C2">
        <w:rPr>
          <w:szCs w:val="22"/>
          <w:lang w:val="en-GB"/>
        </w:rPr>
        <w:t xml:space="preserve"> </w:t>
      </w:r>
      <w:r w:rsidR="00CC11C2" w:rsidRPr="00CC11C2">
        <w:rPr>
          <w:rFonts w:cs="Arial"/>
          <w:szCs w:val="22"/>
        </w:rPr>
        <w:t>shows</w:t>
      </w:r>
      <w:r w:rsidR="00CC11C2">
        <w:rPr>
          <w:rFonts w:cs="Arial"/>
          <w:szCs w:val="22"/>
        </w:rPr>
        <w:t xml:space="preserve"> several</w:t>
      </w:r>
      <w:r w:rsidR="00CC11C2" w:rsidRPr="00CC11C2">
        <w:rPr>
          <w:rFonts w:cs="Arial"/>
          <w:szCs w:val="22"/>
        </w:rPr>
        <w:t xml:space="preserve"> examples </w:t>
      </w:r>
      <w:r w:rsidR="00CC11C2">
        <w:rPr>
          <w:rFonts w:cs="Arial"/>
          <w:szCs w:val="22"/>
        </w:rPr>
        <w:t>of</w:t>
      </w:r>
      <w:r w:rsidR="00CC11C2" w:rsidRPr="00CC11C2">
        <w:rPr>
          <w:rFonts w:cs="Arial"/>
          <w:szCs w:val="22"/>
        </w:rPr>
        <w:t xml:space="preserve"> DM-RS symbol allocation scenarios in Rel-16</w:t>
      </w:r>
      <w:r>
        <w:rPr>
          <w:rFonts w:cs="Arial"/>
          <w:szCs w:val="22"/>
        </w:rPr>
        <w:t>,</w:t>
      </w:r>
      <w:r w:rsidR="00CC11C2" w:rsidRPr="00CC11C2">
        <w:rPr>
          <w:rFonts w:cs="Arial"/>
          <w:szCs w:val="22"/>
        </w:rPr>
        <w:t xml:space="preserve"> considering the uplink symbols in </w:t>
      </w:r>
      <w:r>
        <w:rPr>
          <w:rFonts w:cs="Arial"/>
          <w:szCs w:val="22"/>
        </w:rPr>
        <w:t>both</w:t>
      </w:r>
      <w:r w:rsidR="00CC11C2" w:rsidRPr="00CC11C2">
        <w:rPr>
          <w:rFonts w:cs="Arial"/>
          <w:szCs w:val="22"/>
        </w:rPr>
        <w:t xml:space="preserve"> S and U slots in a TDD frame structure. The PUSCH segments allocated for S and U slots are denoted by PUSCH A and PUSCH B, respectively</w:t>
      </w:r>
      <w:r>
        <w:rPr>
          <w:rFonts w:cs="Arial"/>
          <w:szCs w:val="22"/>
        </w:rPr>
        <w:t>, for simplicity</w:t>
      </w:r>
      <w:r w:rsidR="00CC11C2" w:rsidRPr="00CC11C2">
        <w:rPr>
          <w:rFonts w:cs="Arial"/>
          <w:szCs w:val="22"/>
        </w:rPr>
        <w:t>. Different combinations of mapping types for PUSCH A and PUSCH B are illustrated in</w:t>
      </w:r>
      <w:r w:rsidR="00CC11C2">
        <w:rPr>
          <w:rFonts w:cs="Arial"/>
          <w:szCs w:val="22"/>
        </w:rPr>
        <w:t xml:space="preserve"> </w:t>
      </w:r>
      <w:r w:rsidR="00CC11C2">
        <w:rPr>
          <w:rFonts w:cs="Arial"/>
          <w:szCs w:val="22"/>
        </w:rPr>
        <w:fldChar w:fldCharType="begin"/>
      </w:r>
      <w:r w:rsidR="00CC11C2">
        <w:rPr>
          <w:rFonts w:cs="Arial"/>
          <w:szCs w:val="22"/>
        </w:rPr>
        <w:instrText xml:space="preserve"> REF _Ref60847120 \h </w:instrText>
      </w:r>
      <w:r w:rsidR="00CC11C2">
        <w:rPr>
          <w:rFonts w:cs="Arial"/>
          <w:szCs w:val="22"/>
        </w:rPr>
      </w:r>
      <w:r w:rsidR="00CC11C2">
        <w:rPr>
          <w:rFonts w:cs="Arial"/>
          <w:szCs w:val="22"/>
        </w:rPr>
        <w:fldChar w:fldCharType="separate"/>
      </w:r>
      <w:r w:rsidR="00CC11C2">
        <w:t xml:space="preserve">Figure </w:t>
      </w:r>
      <w:r w:rsidR="00CC11C2">
        <w:rPr>
          <w:noProof/>
        </w:rPr>
        <w:t>2</w:t>
      </w:r>
      <w:r w:rsidR="00CC11C2">
        <w:rPr>
          <w:rFonts w:cs="Arial"/>
          <w:szCs w:val="22"/>
        </w:rPr>
        <w:fldChar w:fldCharType="end"/>
      </w:r>
      <w:r>
        <w:rPr>
          <w:rFonts w:cs="Arial"/>
          <w:szCs w:val="22"/>
        </w:rPr>
        <w:t xml:space="preserve">, where </w:t>
      </w:r>
      <w:r w:rsidR="00CC11C2" w:rsidRPr="00CC11C2">
        <w:rPr>
          <w:rFonts w:cs="Arial"/>
          <w:szCs w:val="22"/>
        </w:rPr>
        <w:t>additional DM-RS</w:t>
      </w:r>
      <w:r>
        <w:rPr>
          <w:rFonts w:cs="Arial"/>
          <w:szCs w:val="22"/>
        </w:rPr>
        <w:t xml:space="preserve"> symbols are considered in some of the combinations</w:t>
      </w:r>
      <w:r w:rsidR="00CC11C2" w:rsidRPr="00CC11C2">
        <w:rPr>
          <w:rFonts w:cs="Arial"/>
          <w:szCs w:val="22"/>
        </w:rPr>
        <w:t>.</w:t>
      </w:r>
    </w:p>
    <w:p w14:paraId="0CF793CC" w14:textId="20EE4E5C" w:rsidR="006F0319" w:rsidRPr="00A46E97" w:rsidRDefault="006F0319" w:rsidP="006F0319">
      <w:pPr>
        <w:spacing w:after="120"/>
        <w:jc w:val="both"/>
        <w:rPr>
          <w:szCs w:val="22"/>
        </w:rPr>
      </w:pPr>
      <w:r w:rsidRPr="00CC11C2">
        <w:rPr>
          <w:szCs w:val="22"/>
        </w:rPr>
        <w:t xml:space="preserve">Assume that PUSCH A and PUSCH B satisfy the conditions regarding power consistency and phase continuity such that DM-RS symbols in the two PUSCH segments can be jointly used for channel estimation in both segments, </w:t>
      </w:r>
      <w:r>
        <w:rPr>
          <w:szCs w:val="22"/>
        </w:rPr>
        <w:t>i.e.,</w:t>
      </w:r>
      <w:r w:rsidRPr="00CC11C2">
        <w:rPr>
          <w:szCs w:val="22"/>
        </w:rPr>
        <w:t xml:space="preserve"> the DM-RS symbols in PUSCH A and PUSCH B can be used for channel estimation at the receiver as if they </w:t>
      </w:r>
      <w:r>
        <w:rPr>
          <w:szCs w:val="22"/>
        </w:rPr>
        <w:t>wer</w:t>
      </w:r>
      <w:r w:rsidRPr="00CC11C2">
        <w:rPr>
          <w:szCs w:val="22"/>
        </w:rPr>
        <w:t xml:space="preserve">e allocated for a single PUSCH. In this context, reusing the Rel-16 DM-RS symbol allocation per PUSCH segment per slot </w:t>
      </w:r>
      <w:r>
        <w:rPr>
          <w:szCs w:val="22"/>
        </w:rPr>
        <w:t>does not always yield a reasonable DM-RS distribution</w:t>
      </w:r>
      <w:r w:rsidRPr="00CC11C2">
        <w:rPr>
          <w:szCs w:val="22"/>
        </w:rPr>
        <w:t>. Indeed, looking at the overall resource for both PUSCH A and</w:t>
      </w:r>
      <w:r>
        <w:rPr>
          <w:szCs w:val="22"/>
        </w:rPr>
        <w:t xml:space="preserve"> PUSCH</w:t>
      </w:r>
      <w:r w:rsidRPr="00CC11C2">
        <w:rPr>
          <w:szCs w:val="22"/>
        </w:rPr>
        <w:t xml:space="preserve"> B in</w:t>
      </w:r>
      <w:r>
        <w:rPr>
          <w:szCs w:val="22"/>
        </w:rPr>
        <w:t xml:space="preserve"> </w:t>
      </w:r>
      <w:r>
        <w:rPr>
          <w:szCs w:val="22"/>
        </w:rPr>
        <w:fldChar w:fldCharType="begin"/>
      </w:r>
      <w:r>
        <w:rPr>
          <w:szCs w:val="22"/>
        </w:rPr>
        <w:instrText xml:space="preserve"> REF _Ref60847120 \h  \* MERGEFORMAT </w:instrText>
      </w:r>
      <w:r>
        <w:rPr>
          <w:szCs w:val="22"/>
        </w:rPr>
      </w:r>
      <w:r>
        <w:rPr>
          <w:szCs w:val="22"/>
        </w:rPr>
        <w:fldChar w:fldCharType="separate"/>
      </w:r>
      <w:r>
        <w:t xml:space="preserve">Figure </w:t>
      </w:r>
      <w:r>
        <w:rPr>
          <w:noProof/>
        </w:rPr>
        <w:t>2</w:t>
      </w:r>
      <w:r>
        <w:rPr>
          <w:szCs w:val="22"/>
        </w:rPr>
        <w:fldChar w:fldCharType="end"/>
      </w:r>
      <w:r w:rsidRPr="00CC11C2">
        <w:rPr>
          <w:szCs w:val="22"/>
        </w:rPr>
        <w:t xml:space="preserve">, it can be observed that the distance between neighboring DM-RS symbols is either too </w:t>
      </w:r>
      <w:r w:rsidR="001C7E2A">
        <w:rPr>
          <w:szCs w:val="22"/>
        </w:rPr>
        <w:t>small or too large</w:t>
      </w:r>
      <w:r>
        <w:rPr>
          <w:szCs w:val="22"/>
        </w:rPr>
        <w:t xml:space="preserve"> which is not </w:t>
      </w:r>
      <w:r w:rsidR="001C7E2A">
        <w:rPr>
          <w:szCs w:val="22"/>
        </w:rPr>
        <w:t xml:space="preserve">the most reasonable setting if we </w:t>
      </w:r>
      <w:r>
        <w:rPr>
          <w:szCs w:val="22"/>
        </w:rPr>
        <w:t xml:space="preserve">consider the fact that those are used for joint channel estimation. </w:t>
      </w:r>
      <w:r w:rsidRPr="00CC11C2">
        <w:rPr>
          <w:szCs w:val="22"/>
        </w:rPr>
        <w:t xml:space="preserve">Therefore, </w:t>
      </w:r>
      <w:r>
        <w:rPr>
          <w:szCs w:val="22"/>
        </w:rPr>
        <w:t>a simple rule/procedure for distributing</w:t>
      </w:r>
      <w:r w:rsidRPr="00CC11C2">
        <w:rPr>
          <w:szCs w:val="22"/>
        </w:rPr>
        <w:t xml:space="preserve"> </w:t>
      </w:r>
      <w:r w:rsidR="001C7E2A">
        <w:rPr>
          <w:szCs w:val="22"/>
        </w:rPr>
        <w:t xml:space="preserve">reasonably </w:t>
      </w:r>
      <w:r w:rsidRPr="00CC11C2">
        <w:rPr>
          <w:szCs w:val="22"/>
        </w:rPr>
        <w:t xml:space="preserve">DM-RS </w:t>
      </w:r>
      <w:r>
        <w:rPr>
          <w:szCs w:val="22"/>
        </w:rPr>
        <w:t>symbols</w:t>
      </w:r>
      <w:r w:rsidRPr="00CC11C2">
        <w:rPr>
          <w:szCs w:val="22"/>
        </w:rPr>
        <w:t xml:space="preserve"> on the </w:t>
      </w:r>
      <w:r>
        <w:rPr>
          <w:szCs w:val="22"/>
        </w:rPr>
        <w:t>concatenated</w:t>
      </w:r>
      <w:r w:rsidRPr="00CC11C2">
        <w:rPr>
          <w:szCs w:val="22"/>
        </w:rPr>
        <w:t xml:space="preserve"> resource of PUSCH</w:t>
      </w:r>
      <w:r>
        <w:rPr>
          <w:szCs w:val="22"/>
        </w:rPr>
        <w:t>s</w:t>
      </w:r>
      <w:r w:rsidRPr="00CC11C2">
        <w:rPr>
          <w:szCs w:val="22"/>
        </w:rPr>
        <w:t xml:space="preserve"> that satisfy the power and phase conditions </w:t>
      </w:r>
      <w:r>
        <w:rPr>
          <w:szCs w:val="22"/>
        </w:rPr>
        <w:t>should be introduced</w:t>
      </w:r>
      <w:r w:rsidRPr="00CC11C2">
        <w:rPr>
          <w:szCs w:val="22"/>
        </w:rPr>
        <w:t xml:space="preserve"> for the Rel-17 joint channel estimation feature.</w:t>
      </w:r>
    </w:p>
    <w:p w14:paraId="269A6A95" w14:textId="77777777" w:rsidR="006F0319" w:rsidRPr="006F0319" w:rsidRDefault="006F0319" w:rsidP="00126CDD">
      <w:pPr>
        <w:jc w:val="both"/>
        <w:rPr>
          <w:szCs w:val="22"/>
        </w:rPr>
      </w:pPr>
    </w:p>
    <w:p w14:paraId="311F5A86" w14:textId="73A7806B" w:rsidR="00CC11C2" w:rsidRDefault="00043274" w:rsidP="00CC11C2">
      <w:pPr>
        <w:keepNext/>
        <w:jc w:val="both"/>
      </w:pPr>
      <w:r>
        <w:rPr>
          <w:noProof/>
        </w:rPr>
        <w:lastRenderedPageBreak/>
        <w:drawing>
          <wp:inline distT="0" distB="0" distL="0" distR="0" wp14:anchorId="4965BCC8" wp14:editId="76D37746">
            <wp:extent cx="6166800" cy="37116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 r="5263"/>
                    <a:stretch/>
                  </pic:blipFill>
                  <pic:spPr bwMode="auto">
                    <a:xfrm>
                      <a:off x="0" y="0"/>
                      <a:ext cx="6166800" cy="3711600"/>
                    </a:xfrm>
                    <a:prstGeom prst="rect">
                      <a:avLst/>
                    </a:prstGeom>
                    <a:noFill/>
                    <a:ln>
                      <a:noFill/>
                    </a:ln>
                    <a:extLst>
                      <a:ext uri="{53640926-AAD7-44D8-BBD7-CCE9431645EC}">
                        <a14:shadowObscured xmlns:a14="http://schemas.microsoft.com/office/drawing/2010/main"/>
                      </a:ext>
                    </a:extLst>
                  </pic:spPr>
                </pic:pic>
              </a:graphicData>
            </a:graphic>
          </wp:inline>
        </w:drawing>
      </w:r>
    </w:p>
    <w:p w14:paraId="1AE0A072" w14:textId="552A2088" w:rsidR="00CC11C2" w:rsidRDefault="00CC11C2" w:rsidP="00CC11C2">
      <w:pPr>
        <w:pStyle w:val="Caption"/>
        <w:jc w:val="center"/>
      </w:pPr>
      <w:bookmarkStart w:id="5" w:name="_Ref60847120"/>
      <w:r>
        <w:t xml:space="preserve">Figure </w:t>
      </w:r>
      <w:r w:rsidR="008E6170">
        <w:fldChar w:fldCharType="begin"/>
      </w:r>
      <w:r w:rsidR="008E6170">
        <w:instrText xml:space="preserve"> SEQ Figure \* ARABIC </w:instrText>
      </w:r>
      <w:r w:rsidR="008E6170">
        <w:fldChar w:fldCharType="separate"/>
      </w:r>
      <w:r w:rsidR="00B51C1C">
        <w:rPr>
          <w:noProof/>
        </w:rPr>
        <w:t>2</w:t>
      </w:r>
      <w:r w:rsidR="008E6170">
        <w:rPr>
          <w:noProof/>
        </w:rPr>
        <w:fldChar w:fldCharType="end"/>
      </w:r>
      <w:bookmarkEnd w:id="5"/>
      <w:r>
        <w:t>. Examples of Rel-16 DM-RS symbols allocation.</w:t>
      </w:r>
    </w:p>
    <w:p w14:paraId="51FDB479" w14:textId="77777777" w:rsidR="00F06DD7" w:rsidRDefault="00F06DD7" w:rsidP="0064194B">
      <w:pPr>
        <w:spacing w:after="120"/>
        <w:jc w:val="both"/>
        <w:rPr>
          <w:szCs w:val="22"/>
        </w:rPr>
      </w:pPr>
    </w:p>
    <w:p w14:paraId="63DED55A" w14:textId="792ECD72" w:rsidR="00DE0C02" w:rsidRDefault="00043274" w:rsidP="0064194B">
      <w:pPr>
        <w:spacing w:after="120"/>
        <w:jc w:val="both"/>
        <w:rPr>
          <w:szCs w:val="22"/>
        </w:rPr>
      </w:pPr>
      <w:r>
        <w:rPr>
          <w:szCs w:val="22"/>
        </w:rPr>
        <w:t>Several option could be considered t</w:t>
      </w:r>
      <w:r w:rsidR="00466305" w:rsidRPr="00DE0C02">
        <w:rPr>
          <w:szCs w:val="22"/>
        </w:rPr>
        <w:t xml:space="preserve">o achieve </w:t>
      </w:r>
      <w:r w:rsidR="00DE0C02" w:rsidRPr="00DE0C02">
        <w:rPr>
          <w:szCs w:val="22"/>
        </w:rPr>
        <w:t>equally distributed DM-RS symbols on the concatenated resource of the PUSCHs in time-domain that satisfy the power and phase conditions</w:t>
      </w:r>
      <w:r>
        <w:rPr>
          <w:szCs w:val="22"/>
        </w:rPr>
        <w:t>.</w:t>
      </w:r>
      <w:r w:rsidR="00DE0C02">
        <w:rPr>
          <w:szCs w:val="22"/>
        </w:rPr>
        <w:t xml:space="preserve"> </w:t>
      </w:r>
      <w:r>
        <w:rPr>
          <w:szCs w:val="22"/>
        </w:rPr>
        <w:t>A</w:t>
      </w:r>
      <w:r w:rsidR="00DE0C02">
        <w:rPr>
          <w:szCs w:val="22"/>
        </w:rPr>
        <w:t xml:space="preserve"> straightforward</w:t>
      </w:r>
      <w:r>
        <w:rPr>
          <w:szCs w:val="22"/>
        </w:rPr>
        <w:t>,</w:t>
      </w:r>
      <w:r w:rsidR="00DE0C02">
        <w:rPr>
          <w:szCs w:val="22"/>
        </w:rPr>
        <w:t xml:space="preserve"> and easy to s</w:t>
      </w:r>
      <w:r>
        <w:rPr>
          <w:szCs w:val="22"/>
        </w:rPr>
        <w:t>upport</w:t>
      </w:r>
      <w:r w:rsidR="00DE0C02">
        <w:rPr>
          <w:szCs w:val="22"/>
        </w:rPr>
        <w:t xml:space="preserve"> </w:t>
      </w:r>
      <w:r w:rsidR="00DE0C02" w:rsidRPr="00DE0C02">
        <w:rPr>
          <w:szCs w:val="22"/>
        </w:rPr>
        <w:t>way</w:t>
      </w:r>
      <w:r>
        <w:rPr>
          <w:szCs w:val="22"/>
        </w:rPr>
        <w:t>,</w:t>
      </w:r>
      <w:r w:rsidR="00DE0C02" w:rsidRPr="00DE0C02">
        <w:rPr>
          <w:szCs w:val="22"/>
        </w:rPr>
        <w:t xml:space="preserve"> is</w:t>
      </w:r>
      <w:r w:rsidR="00DE0C02">
        <w:rPr>
          <w:szCs w:val="22"/>
        </w:rPr>
        <w:t xml:space="preserve"> </w:t>
      </w:r>
      <w:bookmarkStart w:id="6" w:name="_Hlk61886887"/>
      <w:r w:rsidR="00DE0C02">
        <w:rPr>
          <w:szCs w:val="22"/>
        </w:rPr>
        <w:t xml:space="preserve">to </w:t>
      </w:r>
      <w:r>
        <w:rPr>
          <w:szCs w:val="22"/>
        </w:rPr>
        <w:t>place DM-RS symbols between the first and the last one in the considered resource at a constant spacing one from another</w:t>
      </w:r>
      <w:bookmarkEnd w:id="6"/>
      <w:r>
        <w:rPr>
          <w:szCs w:val="22"/>
        </w:rPr>
        <w:t xml:space="preserve">. Let us call this spacing X, for simplicity. </w:t>
      </w:r>
      <w:r w:rsidR="00F06DD7">
        <w:rPr>
          <w:szCs w:val="22"/>
        </w:rPr>
        <w:fldChar w:fldCharType="begin"/>
      </w:r>
      <w:r w:rsidR="00F06DD7">
        <w:rPr>
          <w:szCs w:val="22"/>
        </w:rPr>
        <w:instrText xml:space="preserve"> REF _Ref60864498 \h  \* MERGEFORMAT </w:instrText>
      </w:r>
      <w:r w:rsidR="00F06DD7">
        <w:rPr>
          <w:szCs w:val="22"/>
        </w:rPr>
      </w:r>
      <w:r w:rsidR="00F06DD7">
        <w:rPr>
          <w:szCs w:val="22"/>
        </w:rPr>
        <w:fldChar w:fldCharType="separate"/>
      </w:r>
      <w:r w:rsidR="00F06DD7">
        <w:t xml:space="preserve">Figure </w:t>
      </w:r>
      <w:r w:rsidR="00F06DD7">
        <w:rPr>
          <w:noProof/>
        </w:rPr>
        <w:t>3</w:t>
      </w:r>
      <w:r w:rsidR="00F06DD7">
        <w:rPr>
          <w:szCs w:val="22"/>
        </w:rPr>
        <w:fldChar w:fldCharType="end"/>
      </w:r>
      <w:r w:rsidR="00F06DD7">
        <w:rPr>
          <w:szCs w:val="22"/>
        </w:rPr>
        <w:t xml:space="preserve"> shows an example of constant spacing between </w:t>
      </w:r>
      <w:r w:rsidR="00F06DD7" w:rsidRPr="00DE0C02">
        <w:rPr>
          <w:szCs w:val="22"/>
        </w:rPr>
        <w:t>DM</w:t>
      </w:r>
      <w:r w:rsidR="00F06DD7">
        <w:rPr>
          <w:szCs w:val="22"/>
        </w:rPr>
        <w:t>-</w:t>
      </w:r>
      <w:r w:rsidR="00F06DD7" w:rsidRPr="00DE0C02">
        <w:rPr>
          <w:szCs w:val="22"/>
        </w:rPr>
        <w:t>RS symbol</w:t>
      </w:r>
      <w:r w:rsidR="00F06DD7">
        <w:rPr>
          <w:szCs w:val="22"/>
        </w:rPr>
        <w:t xml:space="preserve">s in case of absence or presence of an additional DM-RS symbol. </w:t>
      </w:r>
      <w:r w:rsidR="00F06DD7" w:rsidRPr="00DE0C02">
        <w:rPr>
          <w:szCs w:val="22"/>
        </w:rPr>
        <w:t xml:space="preserve"> </w:t>
      </w:r>
    </w:p>
    <w:p w14:paraId="138C8926" w14:textId="77777777" w:rsidR="00F06DD7" w:rsidRPr="00DE0C02" w:rsidRDefault="00F06DD7" w:rsidP="0064194B">
      <w:pPr>
        <w:spacing w:after="120"/>
        <w:jc w:val="both"/>
        <w:rPr>
          <w:szCs w:val="22"/>
        </w:rPr>
      </w:pPr>
    </w:p>
    <w:p w14:paraId="4BA0E524" w14:textId="0ACD684F" w:rsidR="00D950DB" w:rsidRDefault="00F06DD7" w:rsidP="00D950DB">
      <w:pPr>
        <w:keepNext/>
        <w:jc w:val="center"/>
      </w:pPr>
      <w:r>
        <w:rPr>
          <w:noProof/>
        </w:rPr>
        <w:drawing>
          <wp:inline distT="0" distB="0" distL="0" distR="0" wp14:anchorId="576093F0" wp14:editId="0291C34C">
            <wp:extent cx="5486400" cy="2260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0" cy="2260800"/>
                    </a:xfrm>
                    <a:prstGeom prst="rect">
                      <a:avLst/>
                    </a:prstGeom>
                    <a:noFill/>
                  </pic:spPr>
                </pic:pic>
              </a:graphicData>
            </a:graphic>
          </wp:inline>
        </w:drawing>
      </w:r>
    </w:p>
    <w:p w14:paraId="06626408" w14:textId="2753E430" w:rsidR="00F06DD7" w:rsidRPr="00F06DD7" w:rsidRDefault="00D950DB" w:rsidP="00F06DD7">
      <w:pPr>
        <w:pStyle w:val="Caption"/>
        <w:jc w:val="center"/>
        <w:rPr>
          <w:noProof/>
        </w:rPr>
      </w:pPr>
      <w:bookmarkStart w:id="7" w:name="_Ref60864498"/>
      <w:r>
        <w:t xml:space="preserve">Figure </w:t>
      </w:r>
      <w:r w:rsidR="008E6170">
        <w:fldChar w:fldCharType="begin"/>
      </w:r>
      <w:r w:rsidR="008E6170">
        <w:instrText xml:space="preserve"> SEQ Figure \* ARABIC </w:instrText>
      </w:r>
      <w:r w:rsidR="008E6170">
        <w:fldChar w:fldCharType="separate"/>
      </w:r>
      <w:r w:rsidR="00B51C1C">
        <w:rPr>
          <w:noProof/>
        </w:rPr>
        <w:t>3</w:t>
      </w:r>
      <w:r w:rsidR="008E6170">
        <w:rPr>
          <w:noProof/>
        </w:rPr>
        <w:fldChar w:fldCharType="end"/>
      </w:r>
      <w:bookmarkEnd w:id="7"/>
      <w:r>
        <w:t>. Illustration of proper DM-RS</w:t>
      </w:r>
      <w:r>
        <w:rPr>
          <w:noProof/>
        </w:rPr>
        <w:t xml:space="preserve"> allocation for joint channel estimation.</w:t>
      </w:r>
    </w:p>
    <w:p w14:paraId="07CDB1E8" w14:textId="77777777" w:rsidR="00F06DD7" w:rsidRDefault="00F06DD7" w:rsidP="0029704C">
      <w:pPr>
        <w:jc w:val="both"/>
        <w:rPr>
          <w:szCs w:val="22"/>
          <w:lang w:val="en-GB"/>
        </w:rPr>
      </w:pPr>
    </w:p>
    <w:p w14:paraId="42C2C135" w14:textId="44080A5F" w:rsidR="0029704C" w:rsidRDefault="0029704C" w:rsidP="0029704C">
      <w:pPr>
        <w:jc w:val="both"/>
        <w:rPr>
          <w:szCs w:val="22"/>
          <w:lang w:val="en-GB"/>
        </w:rPr>
      </w:pPr>
      <w:r>
        <w:rPr>
          <w:szCs w:val="22"/>
          <w:lang w:val="en-GB"/>
        </w:rPr>
        <w:t>In case RAN4 replies that it is feasible to keep power consistency and phase continuity across non-contiguous PUSCHs, one can apply the</w:t>
      </w:r>
      <w:r w:rsidR="00F06DD7">
        <w:rPr>
          <w:szCs w:val="22"/>
          <w:lang w:val="en-GB"/>
        </w:rPr>
        <w:t xml:space="preserve"> constant </w:t>
      </w:r>
      <w:r>
        <w:rPr>
          <w:szCs w:val="22"/>
          <w:lang w:val="en-GB"/>
        </w:rPr>
        <w:t>spacing on each bundle</w:t>
      </w:r>
      <w:r w:rsidR="00A0297C">
        <w:rPr>
          <w:szCs w:val="22"/>
          <w:lang w:val="en-GB"/>
        </w:rPr>
        <w:t xml:space="preserve"> of consecutive PUSCHs</w:t>
      </w:r>
      <w:r>
        <w:rPr>
          <w:szCs w:val="22"/>
          <w:lang w:val="en-GB"/>
        </w:rPr>
        <w:t xml:space="preserve"> or apply across also non-contiguous PUSCH as if there is no gap. The latter</w:t>
      </w:r>
      <w:r w:rsidR="00A0297C">
        <w:rPr>
          <w:szCs w:val="22"/>
          <w:lang w:val="en-GB"/>
        </w:rPr>
        <w:t xml:space="preserve"> case</w:t>
      </w:r>
      <w:r>
        <w:rPr>
          <w:szCs w:val="22"/>
          <w:lang w:val="en-GB"/>
        </w:rPr>
        <w:t xml:space="preserve"> is illustrated in </w:t>
      </w:r>
      <w:r w:rsidR="00A0297C">
        <w:rPr>
          <w:szCs w:val="22"/>
          <w:lang w:val="en-GB"/>
        </w:rPr>
        <w:fldChar w:fldCharType="begin"/>
      </w:r>
      <w:r w:rsidR="00A0297C">
        <w:rPr>
          <w:szCs w:val="22"/>
          <w:lang w:val="en-GB"/>
        </w:rPr>
        <w:instrText xml:space="preserve"> REF _Ref60867605 \h </w:instrText>
      </w:r>
      <w:r w:rsidR="00A0297C">
        <w:rPr>
          <w:szCs w:val="22"/>
          <w:lang w:val="en-GB"/>
        </w:rPr>
      </w:r>
      <w:r w:rsidR="00A0297C">
        <w:rPr>
          <w:szCs w:val="22"/>
          <w:lang w:val="en-GB"/>
        </w:rPr>
        <w:fldChar w:fldCharType="separate"/>
      </w:r>
      <w:r w:rsidR="00A0297C">
        <w:t xml:space="preserve">Figure </w:t>
      </w:r>
      <w:r w:rsidR="00A0297C">
        <w:rPr>
          <w:noProof/>
        </w:rPr>
        <w:t>4</w:t>
      </w:r>
      <w:r w:rsidR="00A0297C">
        <w:rPr>
          <w:szCs w:val="22"/>
          <w:lang w:val="en-GB"/>
        </w:rPr>
        <w:fldChar w:fldCharType="end"/>
      </w:r>
      <w:r w:rsidR="00A0297C">
        <w:rPr>
          <w:szCs w:val="22"/>
          <w:lang w:val="en-GB"/>
        </w:rPr>
        <w:t>.</w:t>
      </w:r>
    </w:p>
    <w:p w14:paraId="22941CC9" w14:textId="77777777" w:rsidR="00A0297C" w:rsidRDefault="0029704C" w:rsidP="00A0297C">
      <w:pPr>
        <w:keepNext/>
        <w:jc w:val="center"/>
      </w:pPr>
      <w:r>
        <w:rPr>
          <w:noProof/>
        </w:rPr>
        <w:lastRenderedPageBreak/>
        <w:drawing>
          <wp:inline distT="0" distB="0" distL="0" distR="0" wp14:anchorId="24F493D1" wp14:editId="4B7B7BD6">
            <wp:extent cx="5508000" cy="3265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21838"/>
                    <a:stretch/>
                  </pic:blipFill>
                  <pic:spPr bwMode="auto">
                    <a:xfrm>
                      <a:off x="0" y="0"/>
                      <a:ext cx="5531715" cy="3279600"/>
                    </a:xfrm>
                    <a:prstGeom prst="rect">
                      <a:avLst/>
                    </a:prstGeom>
                    <a:ln>
                      <a:noFill/>
                    </a:ln>
                    <a:extLst>
                      <a:ext uri="{53640926-AAD7-44D8-BBD7-CCE9431645EC}">
                        <a14:shadowObscured xmlns:a14="http://schemas.microsoft.com/office/drawing/2010/main"/>
                      </a:ext>
                    </a:extLst>
                  </pic:spPr>
                </pic:pic>
              </a:graphicData>
            </a:graphic>
          </wp:inline>
        </w:drawing>
      </w:r>
    </w:p>
    <w:p w14:paraId="00216B55" w14:textId="1D92D8BC" w:rsidR="0029704C" w:rsidRDefault="00A0297C" w:rsidP="00A0297C">
      <w:pPr>
        <w:pStyle w:val="Caption"/>
        <w:jc w:val="center"/>
        <w:rPr>
          <w:szCs w:val="22"/>
          <w:lang w:val="en-GB"/>
        </w:rPr>
      </w:pPr>
      <w:bookmarkStart w:id="8" w:name="_Ref60867605"/>
      <w:r>
        <w:t xml:space="preserve">Figure </w:t>
      </w:r>
      <w:r w:rsidR="008E6170">
        <w:fldChar w:fldCharType="begin"/>
      </w:r>
      <w:r w:rsidR="008E6170">
        <w:instrText xml:space="preserve"> SEQ Figure \* ARABIC </w:instrText>
      </w:r>
      <w:r w:rsidR="008E6170">
        <w:fldChar w:fldCharType="separate"/>
      </w:r>
      <w:r w:rsidR="00B51C1C">
        <w:rPr>
          <w:noProof/>
        </w:rPr>
        <w:t>4</w:t>
      </w:r>
      <w:r w:rsidR="008E6170">
        <w:rPr>
          <w:noProof/>
        </w:rPr>
        <w:fldChar w:fldCharType="end"/>
      </w:r>
      <w:bookmarkEnd w:id="8"/>
      <w:r>
        <w:t>. An example of DM-RS allocation in case joint channel estimation is allowed for non-contiguous PUSCH bundle.</w:t>
      </w:r>
    </w:p>
    <w:p w14:paraId="391BA9B2" w14:textId="6DC1F2D4" w:rsidR="00F06DD7" w:rsidRDefault="00F06DD7" w:rsidP="0064194B">
      <w:pPr>
        <w:jc w:val="both"/>
        <w:rPr>
          <w:szCs w:val="22"/>
        </w:rPr>
      </w:pPr>
    </w:p>
    <w:p w14:paraId="448DA3AE" w14:textId="630AA4CB" w:rsidR="006E3CC6" w:rsidRDefault="006E3CC6" w:rsidP="0064194B">
      <w:pPr>
        <w:jc w:val="both"/>
        <w:rPr>
          <w:szCs w:val="22"/>
        </w:rPr>
      </w:pPr>
      <w:r>
        <w:rPr>
          <w:szCs w:val="22"/>
        </w:rPr>
        <w:t xml:space="preserve">The method of indicating the spacing, as well as the method of configuring starting DM-RS symbol location does not impact the technical relevance of the solution and thus can be further studied. </w:t>
      </w:r>
    </w:p>
    <w:p w14:paraId="37EEBC54" w14:textId="129D1CED" w:rsidR="0029704C" w:rsidRDefault="00A0297C" w:rsidP="0064194B">
      <w:pPr>
        <w:jc w:val="both"/>
        <w:rPr>
          <w:szCs w:val="22"/>
        </w:rPr>
      </w:pPr>
      <w:r>
        <w:rPr>
          <w:szCs w:val="22"/>
        </w:rPr>
        <w:t>From the above discussion, we have the following proposal:</w:t>
      </w:r>
    </w:p>
    <w:p w14:paraId="614C2B23" w14:textId="7424F9DE" w:rsidR="00A46E97" w:rsidRPr="00A46E97" w:rsidRDefault="006E3CC6" w:rsidP="006E3CC6">
      <w:pPr>
        <w:rPr>
          <w:b/>
          <w:bCs/>
          <w:szCs w:val="22"/>
        </w:rPr>
      </w:pPr>
      <w:bookmarkStart w:id="9" w:name="_Toc61887415"/>
      <w:r w:rsidRPr="006E3CC6">
        <w:rPr>
          <w:b/>
          <w:bCs/>
          <w:szCs w:val="22"/>
        </w:rPr>
        <w:t xml:space="preserve">Proposal </w:t>
      </w:r>
      <w:r w:rsidRPr="006E3CC6">
        <w:rPr>
          <w:b/>
          <w:bCs/>
          <w:szCs w:val="22"/>
        </w:rPr>
        <w:fldChar w:fldCharType="begin"/>
      </w:r>
      <w:r w:rsidRPr="006E3CC6">
        <w:rPr>
          <w:b/>
          <w:bCs/>
          <w:szCs w:val="22"/>
        </w:rPr>
        <w:instrText xml:space="preserve"> SEQ Proposal \* ARABIC </w:instrText>
      </w:r>
      <w:r w:rsidRPr="006E3CC6">
        <w:rPr>
          <w:b/>
          <w:bCs/>
          <w:szCs w:val="22"/>
        </w:rPr>
        <w:fldChar w:fldCharType="separate"/>
      </w:r>
      <w:r>
        <w:rPr>
          <w:b/>
          <w:bCs/>
          <w:noProof/>
          <w:szCs w:val="22"/>
        </w:rPr>
        <w:t>3</w:t>
      </w:r>
      <w:r w:rsidRPr="006E3CC6">
        <w:rPr>
          <w:b/>
          <w:bCs/>
          <w:szCs w:val="22"/>
        </w:rPr>
        <w:fldChar w:fldCharType="end"/>
      </w:r>
      <w:r w:rsidRPr="006E3CC6">
        <w:rPr>
          <w:b/>
          <w:bCs/>
          <w:szCs w:val="22"/>
        </w:rPr>
        <w:t>.</w:t>
      </w:r>
      <w:r w:rsidRPr="00B066E0">
        <w:rPr>
          <w:szCs w:val="22"/>
        </w:rPr>
        <w:t xml:space="preserve"> </w:t>
      </w:r>
      <w:r w:rsidR="00A46E97" w:rsidRPr="00A46E97">
        <w:rPr>
          <w:b/>
          <w:bCs/>
          <w:szCs w:val="22"/>
        </w:rPr>
        <w:t>For the Rel-17 joint channel estimation feature, RAN1 to specify a procedure for equally distributing DM-RS symbols on the concatenated resource of the PUSCHs in time-domain that satisfy the power and phase conditions.</w:t>
      </w:r>
      <w:bookmarkEnd w:id="9"/>
    </w:p>
    <w:p w14:paraId="730861DA" w14:textId="6B84F0C4" w:rsidR="00A46E97" w:rsidRDefault="00A46E97" w:rsidP="0064194B">
      <w:pPr>
        <w:pStyle w:val="ListParagraph"/>
        <w:numPr>
          <w:ilvl w:val="0"/>
          <w:numId w:val="35"/>
        </w:numPr>
        <w:spacing w:after="120"/>
        <w:jc w:val="both"/>
        <w:rPr>
          <w:b/>
          <w:bCs/>
          <w:szCs w:val="22"/>
          <w:lang w:val="en-US"/>
        </w:rPr>
      </w:pPr>
      <w:r w:rsidRPr="00A46E97">
        <w:rPr>
          <w:b/>
          <w:bCs/>
          <w:szCs w:val="22"/>
          <w:lang w:val="en-US"/>
        </w:rPr>
        <w:t xml:space="preserve">FFS: Details of </w:t>
      </w:r>
      <w:r w:rsidR="003A51D9">
        <w:rPr>
          <w:b/>
          <w:bCs/>
          <w:szCs w:val="22"/>
          <w:lang w:val="en-US"/>
        </w:rPr>
        <w:t>the</w:t>
      </w:r>
      <w:r w:rsidR="003A51D9" w:rsidRPr="00A46E97">
        <w:rPr>
          <w:b/>
          <w:bCs/>
          <w:szCs w:val="22"/>
          <w:lang w:val="en-US"/>
        </w:rPr>
        <w:t xml:space="preserve"> procedure for equally distributing DM-RS symbols</w:t>
      </w:r>
      <w:r w:rsidR="003A51D9">
        <w:rPr>
          <w:b/>
          <w:bCs/>
          <w:szCs w:val="22"/>
          <w:lang w:val="en-US"/>
        </w:rPr>
        <w:t>, including introducing a spacing parameter</w:t>
      </w:r>
      <w:r w:rsidR="006E3CC6">
        <w:rPr>
          <w:b/>
          <w:bCs/>
          <w:szCs w:val="22"/>
          <w:lang w:val="en-US"/>
        </w:rPr>
        <w:t xml:space="preserve"> </w:t>
      </w:r>
      <w:r w:rsidR="003A51D9">
        <w:rPr>
          <w:b/>
          <w:bCs/>
          <w:szCs w:val="22"/>
          <w:lang w:val="en-US"/>
        </w:rPr>
        <w:t xml:space="preserve">such </w:t>
      </w:r>
      <w:r w:rsidR="00F06DD7" w:rsidRPr="00F06DD7">
        <w:rPr>
          <w:b/>
          <w:bCs/>
          <w:szCs w:val="22"/>
          <w:lang w:val="en-US"/>
        </w:rPr>
        <w:t>DM-RS symbols between the first and the last one in the considered resource at a constant spacing one from another</w:t>
      </w:r>
      <w:r w:rsidR="003A51D9">
        <w:rPr>
          <w:b/>
          <w:bCs/>
          <w:szCs w:val="22"/>
          <w:lang w:val="en-US"/>
        </w:rPr>
        <w:t>.</w:t>
      </w:r>
    </w:p>
    <w:p w14:paraId="14EA45AF" w14:textId="6F72B5B0" w:rsidR="003A51D9" w:rsidRPr="003A51D9" w:rsidRDefault="003A51D9" w:rsidP="0064194B">
      <w:pPr>
        <w:pStyle w:val="ListParagraph"/>
        <w:numPr>
          <w:ilvl w:val="0"/>
          <w:numId w:val="35"/>
        </w:numPr>
        <w:spacing w:after="120"/>
        <w:jc w:val="both"/>
        <w:rPr>
          <w:b/>
          <w:bCs/>
          <w:szCs w:val="22"/>
          <w:lang w:val="en-US"/>
        </w:rPr>
      </w:pPr>
      <w:r>
        <w:rPr>
          <w:b/>
          <w:bCs/>
          <w:szCs w:val="22"/>
          <w:lang w:val="en-US"/>
        </w:rPr>
        <w:t xml:space="preserve">FFS: Method for indicating </w:t>
      </w:r>
      <w:r w:rsidR="006E3CC6">
        <w:rPr>
          <w:b/>
          <w:bCs/>
          <w:szCs w:val="22"/>
          <w:lang w:val="en-US"/>
        </w:rPr>
        <w:t>the spacing parameter</w:t>
      </w:r>
      <w:r w:rsidR="008C34A6">
        <w:rPr>
          <w:b/>
          <w:bCs/>
          <w:szCs w:val="22"/>
          <w:lang w:val="en-US"/>
        </w:rPr>
        <w:t>.</w:t>
      </w:r>
    </w:p>
    <w:p w14:paraId="41B555CA" w14:textId="77777777" w:rsidR="00A0297C" w:rsidRPr="00A46E97" w:rsidRDefault="00A0297C" w:rsidP="00A0297C">
      <w:pPr>
        <w:jc w:val="both"/>
        <w:rPr>
          <w:szCs w:val="22"/>
        </w:rPr>
      </w:pPr>
    </w:p>
    <w:p w14:paraId="65BAC809" w14:textId="00D1CA4A" w:rsidR="00041983" w:rsidRDefault="00041983" w:rsidP="001F201D">
      <w:pPr>
        <w:pStyle w:val="Heading2"/>
      </w:pPr>
      <w:r>
        <w:t>Inter-slot frequency hopping</w:t>
      </w:r>
      <w:r w:rsidR="00C77A46">
        <w:t xml:space="preserve"> bundling</w:t>
      </w:r>
      <w:r>
        <w:t xml:space="preserve"> for</w:t>
      </w:r>
      <w:r w:rsidR="00C77A46">
        <w:t xml:space="preserve"> cross-slot</w:t>
      </w:r>
      <w:r>
        <w:t xml:space="preserve"> joint channel estimation</w:t>
      </w:r>
    </w:p>
    <w:p w14:paraId="74359D3B" w14:textId="2C62CA0D" w:rsidR="00516D9A" w:rsidRDefault="006E3CC6" w:rsidP="00B32F67">
      <w:pPr>
        <w:jc w:val="both"/>
        <w:rPr>
          <w:szCs w:val="22"/>
        </w:rPr>
      </w:pPr>
      <w:r>
        <w:rPr>
          <w:szCs w:val="22"/>
          <w:lang w:val="en-GB"/>
        </w:rPr>
        <w:t>According to</w:t>
      </w:r>
      <w:r w:rsidR="00516D9A">
        <w:rPr>
          <w:szCs w:val="22"/>
        </w:rPr>
        <w:t xml:space="preserve"> the WID, i</w:t>
      </w:r>
      <w:r w:rsidR="00516D9A" w:rsidRPr="00516D9A">
        <w:rPr>
          <w:szCs w:val="22"/>
        </w:rPr>
        <w:t>nter-slot frequency hopping with inter-slot bundling to enable joint channel estimation</w:t>
      </w:r>
      <w:r w:rsidR="00516D9A">
        <w:rPr>
          <w:szCs w:val="22"/>
        </w:rPr>
        <w:t xml:space="preserve"> should also be specified.</w:t>
      </w:r>
      <w:r w:rsidR="00B51C1C">
        <w:rPr>
          <w:szCs w:val="22"/>
        </w:rPr>
        <w:t xml:space="preserve"> Once the window is defined as discussed in Section 2.1.2, one can simply bundle PUSCH within one window into one frequency hop to enable cross-slot channel estimation, i.e. inter-window frequency hopping. </w:t>
      </w:r>
      <w:r w:rsidR="00B51C1C">
        <w:rPr>
          <w:szCs w:val="22"/>
        </w:rPr>
        <w:fldChar w:fldCharType="begin"/>
      </w:r>
      <w:r w:rsidR="00B51C1C">
        <w:rPr>
          <w:szCs w:val="22"/>
        </w:rPr>
        <w:instrText xml:space="preserve"> REF _Ref60868732 \h </w:instrText>
      </w:r>
      <w:r w:rsidR="00B32F67">
        <w:rPr>
          <w:szCs w:val="22"/>
        </w:rPr>
        <w:instrText xml:space="preserve"> \* MERGEFORMAT </w:instrText>
      </w:r>
      <w:r w:rsidR="00B51C1C">
        <w:rPr>
          <w:szCs w:val="22"/>
        </w:rPr>
      </w:r>
      <w:r w:rsidR="00B51C1C">
        <w:rPr>
          <w:szCs w:val="22"/>
        </w:rPr>
        <w:fldChar w:fldCharType="separate"/>
      </w:r>
      <w:r w:rsidR="00B51C1C">
        <w:t xml:space="preserve">Figure </w:t>
      </w:r>
      <w:r w:rsidR="00B51C1C">
        <w:rPr>
          <w:noProof/>
        </w:rPr>
        <w:t>5</w:t>
      </w:r>
      <w:r w:rsidR="00B51C1C">
        <w:rPr>
          <w:szCs w:val="22"/>
        </w:rPr>
        <w:fldChar w:fldCharType="end"/>
      </w:r>
      <w:r w:rsidR="00B51C1C">
        <w:rPr>
          <w:szCs w:val="22"/>
        </w:rPr>
        <w:t xml:space="preserve"> illustrates the inter-window frequency hopping for PUSCH repetition type A and PUSCH repetition type B, since both PUSCH repetition types allow inter-slot frequency hopping.</w:t>
      </w:r>
    </w:p>
    <w:p w14:paraId="7FDF9C75" w14:textId="7B33C7D8" w:rsidR="006E3CC6" w:rsidRDefault="006E3CC6" w:rsidP="006E3CC6">
      <w:pPr>
        <w:rPr>
          <w:szCs w:val="22"/>
        </w:rPr>
      </w:pPr>
      <w:r>
        <w:rPr>
          <w:szCs w:val="22"/>
        </w:rPr>
        <w:t>From the discussion above, the following proposal is formulated:</w:t>
      </w:r>
    </w:p>
    <w:p w14:paraId="40823E4C" w14:textId="72FDD05C" w:rsidR="006E3CC6" w:rsidRDefault="006E3CC6" w:rsidP="006E3CC6">
      <w:pPr>
        <w:rPr>
          <w:b/>
          <w:bCs/>
          <w:szCs w:val="22"/>
        </w:rPr>
      </w:pPr>
      <w:bookmarkStart w:id="10" w:name="_Toc61887416"/>
      <w:r w:rsidRPr="006E3CC6">
        <w:rPr>
          <w:b/>
          <w:bCs/>
          <w:szCs w:val="22"/>
        </w:rPr>
        <w:t xml:space="preserve">Proposal </w:t>
      </w:r>
      <w:r w:rsidRPr="006E3CC6">
        <w:rPr>
          <w:b/>
          <w:bCs/>
          <w:szCs w:val="22"/>
        </w:rPr>
        <w:fldChar w:fldCharType="begin"/>
      </w:r>
      <w:r w:rsidRPr="006E3CC6">
        <w:rPr>
          <w:b/>
          <w:bCs/>
          <w:szCs w:val="22"/>
        </w:rPr>
        <w:instrText xml:space="preserve"> SEQ Proposal \* ARABIC </w:instrText>
      </w:r>
      <w:r w:rsidRPr="006E3CC6">
        <w:rPr>
          <w:b/>
          <w:bCs/>
          <w:szCs w:val="22"/>
        </w:rPr>
        <w:fldChar w:fldCharType="separate"/>
      </w:r>
      <w:r>
        <w:rPr>
          <w:b/>
          <w:bCs/>
          <w:noProof/>
          <w:szCs w:val="22"/>
        </w:rPr>
        <w:t>4</w:t>
      </w:r>
      <w:r w:rsidRPr="006E3CC6">
        <w:rPr>
          <w:b/>
          <w:bCs/>
          <w:szCs w:val="22"/>
        </w:rPr>
        <w:fldChar w:fldCharType="end"/>
      </w:r>
      <w:r w:rsidRPr="006E3CC6">
        <w:rPr>
          <w:b/>
          <w:bCs/>
          <w:szCs w:val="22"/>
        </w:rPr>
        <w:t>.</w:t>
      </w:r>
      <w:r w:rsidRPr="00B066E0">
        <w:rPr>
          <w:szCs w:val="22"/>
        </w:rPr>
        <w:t xml:space="preserve"> </w:t>
      </w:r>
      <w:r w:rsidRPr="00352C2E">
        <w:rPr>
          <w:b/>
          <w:bCs/>
          <w:szCs w:val="22"/>
        </w:rPr>
        <w:t xml:space="preserve">For inter-slot frequency hopping with inter-slot bundling to enable joint channel estimation, a concept of inter-window frequency hopping should be specified, where </w:t>
      </w:r>
      <w:r>
        <w:rPr>
          <w:b/>
          <w:bCs/>
          <w:szCs w:val="22"/>
        </w:rPr>
        <w:t>each</w:t>
      </w:r>
      <w:r w:rsidRPr="00352C2E">
        <w:rPr>
          <w:b/>
          <w:bCs/>
          <w:szCs w:val="22"/>
        </w:rPr>
        <w:t xml:space="preserve"> window is a time-domain window, within which power consistency and phase continuity are </w:t>
      </w:r>
      <w:r>
        <w:rPr>
          <w:b/>
          <w:bCs/>
          <w:szCs w:val="22"/>
        </w:rPr>
        <w:t xml:space="preserve">both </w:t>
      </w:r>
      <w:r w:rsidRPr="00352C2E">
        <w:rPr>
          <w:b/>
          <w:bCs/>
          <w:szCs w:val="22"/>
        </w:rPr>
        <w:t>guaranteed across PUSCHs for joint channel estimation.</w:t>
      </w:r>
      <w:bookmarkEnd w:id="10"/>
    </w:p>
    <w:p w14:paraId="37D33D24" w14:textId="149440A0" w:rsidR="00516D9A" w:rsidRDefault="00516D9A" w:rsidP="001F201D">
      <w:pPr>
        <w:rPr>
          <w:szCs w:val="22"/>
        </w:rPr>
      </w:pPr>
    </w:p>
    <w:p w14:paraId="460B6E1A" w14:textId="77777777" w:rsidR="00B51C1C" w:rsidRDefault="00B51C1C" w:rsidP="00B51C1C">
      <w:pPr>
        <w:keepNext/>
        <w:jc w:val="center"/>
      </w:pPr>
      <w:r>
        <w:rPr>
          <w:noProof/>
        </w:rPr>
        <w:lastRenderedPageBreak/>
        <w:drawing>
          <wp:inline distT="0" distB="0" distL="0" distR="0" wp14:anchorId="0B495A2F" wp14:editId="53037905">
            <wp:extent cx="6120765" cy="27165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716530"/>
                    </a:xfrm>
                    <a:prstGeom prst="rect">
                      <a:avLst/>
                    </a:prstGeom>
                  </pic:spPr>
                </pic:pic>
              </a:graphicData>
            </a:graphic>
          </wp:inline>
        </w:drawing>
      </w:r>
    </w:p>
    <w:p w14:paraId="16800834" w14:textId="40A94A31" w:rsidR="00B51C1C" w:rsidRDefault="00B51C1C" w:rsidP="00B51C1C">
      <w:pPr>
        <w:pStyle w:val="Caption"/>
        <w:jc w:val="center"/>
        <w:rPr>
          <w:szCs w:val="22"/>
        </w:rPr>
      </w:pPr>
      <w:bookmarkStart w:id="11" w:name="_Ref60868732"/>
      <w:r>
        <w:t xml:space="preserve">Figure </w:t>
      </w:r>
      <w:r w:rsidR="008E6170">
        <w:fldChar w:fldCharType="begin"/>
      </w:r>
      <w:r w:rsidR="008E6170">
        <w:instrText xml:space="preserve"> SEQ Figure \* ARABIC </w:instrText>
      </w:r>
      <w:r w:rsidR="008E6170">
        <w:fldChar w:fldCharType="separate"/>
      </w:r>
      <w:r>
        <w:rPr>
          <w:noProof/>
        </w:rPr>
        <w:t>5</w:t>
      </w:r>
      <w:r w:rsidR="008E6170">
        <w:rPr>
          <w:noProof/>
        </w:rPr>
        <w:fldChar w:fldCharType="end"/>
      </w:r>
      <w:bookmarkEnd w:id="11"/>
      <w:r>
        <w:t>. Illustration of inter-window frequency hopping for cross-slot joint channel estimation.</w:t>
      </w:r>
    </w:p>
    <w:p w14:paraId="2F1BA05F" w14:textId="77777777" w:rsidR="00352C2E" w:rsidRPr="00B51C1C" w:rsidRDefault="00352C2E" w:rsidP="00352C2E">
      <w:pPr>
        <w:jc w:val="both"/>
        <w:rPr>
          <w:b/>
          <w:bCs/>
          <w:szCs w:val="22"/>
        </w:rPr>
      </w:pPr>
    </w:p>
    <w:bookmarkEnd w:id="2"/>
    <w:p w14:paraId="10445A01" w14:textId="480CC7E1" w:rsidR="00885580" w:rsidRDefault="007820D0" w:rsidP="00885580">
      <w:pPr>
        <w:pStyle w:val="Heading1"/>
      </w:pPr>
      <w:r>
        <w:t>Conclusion</w:t>
      </w:r>
    </w:p>
    <w:p w14:paraId="7AFE95EE" w14:textId="5BBB9959" w:rsidR="006E3CC6" w:rsidRPr="00CA4D6F" w:rsidRDefault="006E3CC6" w:rsidP="006E3CC6">
      <w:pPr>
        <w:spacing w:before="240" w:after="240" w:line="259" w:lineRule="auto"/>
        <w:rPr>
          <w:b/>
          <w:bCs/>
          <w:szCs w:val="22"/>
          <w:lang w:eastAsia="zh-CN"/>
        </w:rPr>
      </w:pPr>
      <w:r w:rsidRPr="00B066E0">
        <w:rPr>
          <w:szCs w:val="22"/>
          <w:lang w:eastAsia="zh-CN"/>
        </w:rPr>
        <w:t xml:space="preserve">In this contribution, we discussed </w:t>
      </w:r>
      <w:r>
        <w:t xml:space="preserve">aspects related to the normative work necessary to provide support to multi-slot TB processing and transmission in Rel-17. </w:t>
      </w:r>
      <w:r>
        <w:rPr>
          <w:szCs w:val="24"/>
          <w:lang w:eastAsia="zh-CN"/>
        </w:rPr>
        <w:t>T</w:t>
      </w:r>
      <w:r w:rsidRPr="00B066E0">
        <w:rPr>
          <w:szCs w:val="24"/>
          <w:lang w:eastAsia="zh-CN"/>
        </w:rPr>
        <w:t>he following proposals have been made:</w:t>
      </w:r>
    </w:p>
    <w:p w14:paraId="4A38B059" w14:textId="7C9C6EDB" w:rsidR="006E3CC6" w:rsidRDefault="006E3CC6" w:rsidP="006E3CC6">
      <w:pPr>
        <w:pStyle w:val="TableofFigures"/>
        <w:tabs>
          <w:tab w:val="right" w:leader="dot" w:pos="9629"/>
        </w:tabs>
        <w:spacing w:after="120"/>
        <w:rPr>
          <w:rStyle w:val="Hyperlink"/>
          <w:rFonts w:ascii="Times New Roman" w:hAnsi="Times New Roman"/>
          <w:noProof/>
          <w:sz w:val="22"/>
          <w:szCs w:val="22"/>
        </w:rPr>
      </w:pPr>
      <w:r w:rsidRPr="006E3CC6">
        <w:rPr>
          <w:rFonts w:ascii="Times New Roman" w:hAnsi="Times New Roman"/>
          <w:b/>
          <w:bCs/>
          <w:i w:val="0"/>
          <w:iCs w:val="0"/>
          <w:sz w:val="22"/>
          <w:szCs w:val="22"/>
          <w:lang w:val="en-US" w:eastAsia="zh-CN"/>
        </w:rPr>
        <w:fldChar w:fldCharType="begin"/>
      </w:r>
      <w:r w:rsidRPr="006E3CC6">
        <w:rPr>
          <w:rFonts w:ascii="Times New Roman" w:hAnsi="Times New Roman"/>
          <w:b/>
          <w:bCs/>
          <w:i w:val="0"/>
          <w:iCs w:val="0"/>
          <w:sz w:val="22"/>
          <w:szCs w:val="22"/>
          <w:lang w:val="en-US" w:eastAsia="zh-CN"/>
        </w:rPr>
        <w:instrText xml:space="preserve"> TOC \n \h \z \c "Proposal" </w:instrText>
      </w:r>
      <w:r w:rsidRPr="006E3CC6">
        <w:rPr>
          <w:rFonts w:ascii="Times New Roman" w:hAnsi="Times New Roman"/>
          <w:b/>
          <w:bCs/>
          <w:i w:val="0"/>
          <w:iCs w:val="0"/>
          <w:sz w:val="22"/>
          <w:szCs w:val="22"/>
          <w:lang w:val="en-US" w:eastAsia="zh-CN"/>
        </w:rPr>
        <w:fldChar w:fldCharType="separate"/>
      </w:r>
      <w:hyperlink w:anchor="_Toc61887413" w:history="1">
        <w:r w:rsidRPr="006E3CC6">
          <w:rPr>
            <w:rStyle w:val="Hyperlink"/>
            <w:rFonts w:ascii="Times New Roman" w:hAnsi="Times New Roman"/>
            <w:b/>
            <w:bCs/>
            <w:noProof/>
            <w:sz w:val="22"/>
            <w:szCs w:val="22"/>
          </w:rPr>
          <w:t>Proposal 1.</w:t>
        </w:r>
        <w:r w:rsidRPr="006E3CC6">
          <w:rPr>
            <w:rStyle w:val="Hyperlink"/>
            <w:rFonts w:ascii="Times New Roman" w:hAnsi="Times New Roman"/>
            <w:noProof/>
            <w:sz w:val="22"/>
            <w:szCs w:val="22"/>
          </w:rPr>
          <w:t xml:space="preserve"> </w:t>
        </w:r>
        <w:r w:rsidRPr="006E3CC6">
          <w:rPr>
            <w:rStyle w:val="Hyperlink"/>
            <w:rFonts w:ascii="Times New Roman" w:hAnsi="Times New Roman"/>
            <w:b/>
            <w:bCs/>
            <w:noProof/>
            <w:sz w:val="22"/>
            <w:szCs w:val="22"/>
          </w:rPr>
          <w:t>RAN1 to specify an indication method letting the gNB enable/disable the power consistency and phase continuity requirements for the UE.</w:t>
        </w:r>
      </w:hyperlink>
    </w:p>
    <w:p w14:paraId="012542DA" w14:textId="77777777" w:rsidR="006E3CC6" w:rsidRPr="006E3CC6" w:rsidRDefault="006E3CC6" w:rsidP="006E3CC6">
      <w:pPr>
        <w:pStyle w:val="ListParagraph"/>
        <w:numPr>
          <w:ilvl w:val="0"/>
          <w:numId w:val="33"/>
        </w:numPr>
        <w:spacing w:after="120"/>
        <w:jc w:val="both"/>
        <w:rPr>
          <w:b/>
          <w:bCs/>
          <w:i/>
          <w:iCs/>
          <w:szCs w:val="22"/>
          <w:lang w:val="en-GB"/>
        </w:rPr>
      </w:pPr>
      <w:r w:rsidRPr="006E3CC6">
        <w:rPr>
          <w:b/>
          <w:bCs/>
          <w:i/>
          <w:iCs/>
          <w:szCs w:val="22"/>
          <w:lang w:val="en-GB"/>
        </w:rPr>
        <w:t>FFS: Details of the indication methodology, e.g., dynamic/semi-static etc.</w:t>
      </w:r>
    </w:p>
    <w:p w14:paraId="1855BA5A" w14:textId="23344F0D" w:rsidR="006E3CC6" w:rsidRPr="006E3CC6" w:rsidRDefault="006E3CC6" w:rsidP="006E3CC6">
      <w:pPr>
        <w:pStyle w:val="ListParagraph"/>
        <w:numPr>
          <w:ilvl w:val="0"/>
          <w:numId w:val="33"/>
        </w:numPr>
        <w:spacing w:after="120"/>
        <w:jc w:val="both"/>
        <w:rPr>
          <w:b/>
          <w:bCs/>
          <w:i/>
          <w:iCs/>
          <w:szCs w:val="22"/>
          <w:lang w:val="en-GB"/>
        </w:rPr>
      </w:pPr>
      <w:r w:rsidRPr="006E3CC6">
        <w:rPr>
          <w:b/>
          <w:bCs/>
          <w:i/>
          <w:iCs/>
          <w:szCs w:val="22"/>
          <w:lang w:val="en-GB"/>
        </w:rPr>
        <w:t>FFS: Whether any restriction should be applied, e.g., joint channel estimation is only applied across PUSCH with the same PHY priority, or joint channel estimation is only applied across repetitions of the same PUSCH transmission.</w:t>
      </w:r>
    </w:p>
    <w:p w14:paraId="7BD22304" w14:textId="16299D20" w:rsidR="006E3CC6" w:rsidRDefault="008E6170" w:rsidP="006E3CC6">
      <w:pPr>
        <w:pStyle w:val="TableofFigures"/>
        <w:tabs>
          <w:tab w:val="right" w:leader="dot" w:pos="9629"/>
        </w:tabs>
        <w:spacing w:after="120"/>
        <w:rPr>
          <w:rStyle w:val="Hyperlink"/>
          <w:rFonts w:ascii="Times New Roman" w:hAnsi="Times New Roman"/>
          <w:noProof/>
          <w:sz w:val="22"/>
          <w:szCs w:val="22"/>
        </w:rPr>
      </w:pPr>
      <w:hyperlink w:anchor="_Toc61887414" w:history="1">
        <w:r w:rsidR="006E3CC6" w:rsidRPr="006E3CC6">
          <w:rPr>
            <w:rStyle w:val="Hyperlink"/>
            <w:rFonts w:ascii="Times New Roman" w:hAnsi="Times New Roman"/>
            <w:b/>
            <w:bCs/>
            <w:noProof/>
            <w:sz w:val="22"/>
            <w:szCs w:val="22"/>
          </w:rPr>
          <w:t>Proposal 2.</w:t>
        </w:r>
        <w:r w:rsidR="006E3CC6" w:rsidRPr="006E3CC6">
          <w:rPr>
            <w:rStyle w:val="Hyperlink"/>
            <w:rFonts w:ascii="Times New Roman" w:hAnsi="Times New Roman"/>
            <w:noProof/>
            <w:sz w:val="22"/>
            <w:szCs w:val="22"/>
          </w:rPr>
          <w:t xml:space="preserve"> </w:t>
        </w:r>
        <w:r w:rsidR="006E3CC6" w:rsidRPr="006E3CC6">
          <w:rPr>
            <w:rStyle w:val="Hyperlink"/>
            <w:rFonts w:ascii="Times New Roman" w:hAnsi="Times New Roman"/>
            <w:b/>
            <w:bCs/>
            <w:noProof/>
            <w:sz w:val="22"/>
            <w:szCs w:val="22"/>
          </w:rPr>
          <w:t>A time-domain window, within which power consistency and phase continuity are guaranteed across PUSCHs for joint channel estimation, should be configured by gNB.</w:t>
        </w:r>
      </w:hyperlink>
    </w:p>
    <w:p w14:paraId="557DA28D" w14:textId="6BDDB33C" w:rsidR="006E3CC6" w:rsidRPr="006E3CC6" w:rsidRDefault="006E3CC6" w:rsidP="006E3CC6">
      <w:pPr>
        <w:pStyle w:val="ListParagraph"/>
        <w:numPr>
          <w:ilvl w:val="0"/>
          <w:numId w:val="34"/>
        </w:numPr>
        <w:spacing w:after="120"/>
        <w:jc w:val="both"/>
        <w:rPr>
          <w:i/>
          <w:iCs/>
          <w:szCs w:val="22"/>
        </w:rPr>
      </w:pPr>
      <w:r w:rsidRPr="006E3CC6">
        <w:rPr>
          <w:b/>
          <w:bCs/>
          <w:i/>
          <w:iCs/>
          <w:szCs w:val="22"/>
          <w:lang w:val="en-US"/>
        </w:rPr>
        <w:t>FFS: Definition of the details of time-domain window configuration and indication.</w:t>
      </w:r>
    </w:p>
    <w:p w14:paraId="479644BE" w14:textId="333207EC" w:rsidR="006E3CC6" w:rsidRDefault="008E6170" w:rsidP="006E3CC6">
      <w:pPr>
        <w:pStyle w:val="TableofFigures"/>
        <w:tabs>
          <w:tab w:val="right" w:leader="dot" w:pos="9629"/>
        </w:tabs>
        <w:spacing w:after="120"/>
        <w:rPr>
          <w:rStyle w:val="Hyperlink"/>
          <w:rFonts w:ascii="Times New Roman" w:hAnsi="Times New Roman"/>
          <w:noProof/>
          <w:sz w:val="22"/>
          <w:szCs w:val="22"/>
        </w:rPr>
      </w:pPr>
      <w:hyperlink w:anchor="_Toc61887415" w:history="1">
        <w:r w:rsidR="006E3CC6" w:rsidRPr="006E3CC6">
          <w:rPr>
            <w:rStyle w:val="Hyperlink"/>
            <w:rFonts w:ascii="Times New Roman" w:hAnsi="Times New Roman"/>
            <w:b/>
            <w:bCs/>
            <w:noProof/>
            <w:sz w:val="22"/>
            <w:szCs w:val="22"/>
          </w:rPr>
          <w:t>Proposal 3.</w:t>
        </w:r>
        <w:r w:rsidR="006E3CC6" w:rsidRPr="006E3CC6">
          <w:rPr>
            <w:rStyle w:val="Hyperlink"/>
            <w:rFonts w:ascii="Times New Roman" w:hAnsi="Times New Roman"/>
            <w:noProof/>
            <w:sz w:val="22"/>
            <w:szCs w:val="22"/>
          </w:rPr>
          <w:t xml:space="preserve"> </w:t>
        </w:r>
        <w:r w:rsidR="006E3CC6" w:rsidRPr="006E3CC6">
          <w:rPr>
            <w:rStyle w:val="Hyperlink"/>
            <w:rFonts w:ascii="Times New Roman" w:hAnsi="Times New Roman"/>
            <w:b/>
            <w:bCs/>
            <w:noProof/>
            <w:sz w:val="22"/>
            <w:szCs w:val="22"/>
          </w:rPr>
          <w:t>For the Rel-17 joint channel estimation feature, RAN1 to specify a procedure for equally distributing DM-RS symbols on the concatenated resource of the PUSCHs in time-domain that satisfy the power and phase conditions.</w:t>
        </w:r>
      </w:hyperlink>
    </w:p>
    <w:p w14:paraId="1FF91EED" w14:textId="77777777" w:rsidR="006E3CC6" w:rsidRPr="006E3CC6" w:rsidRDefault="006E3CC6" w:rsidP="006E3CC6">
      <w:pPr>
        <w:pStyle w:val="ListParagraph"/>
        <w:numPr>
          <w:ilvl w:val="0"/>
          <w:numId w:val="35"/>
        </w:numPr>
        <w:spacing w:after="120"/>
        <w:jc w:val="both"/>
        <w:rPr>
          <w:b/>
          <w:bCs/>
          <w:i/>
          <w:iCs/>
          <w:szCs w:val="22"/>
          <w:lang w:val="en-US"/>
        </w:rPr>
      </w:pPr>
      <w:r w:rsidRPr="006E3CC6">
        <w:rPr>
          <w:b/>
          <w:bCs/>
          <w:i/>
          <w:iCs/>
          <w:szCs w:val="22"/>
          <w:lang w:val="en-US"/>
        </w:rPr>
        <w:t>FFS: Details of the procedure for equally distributing DM-RS symbols, including introducing a spacing parameter such DM-RS symbols between the first and the last one in the considered resource at a constant spacing one from another.</w:t>
      </w:r>
    </w:p>
    <w:p w14:paraId="2166BDC8" w14:textId="5ECCF03D" w:rsidR="006E3CC6" w:rsidRPr="006E3CC6" w:rsidRDefault="006E3CC6" w:rsidP="006E3CC6">
      <w:pPr>
        <w:pStyle w:val="ListParagraph"/>
        <w:numPr>
          <w:ilvl w:val="0"/>
          <w:numId w:val="35"/>
        </w:numPr>
        <w:spacing w:after="120"/>
        <w:jc w:val="both"/>
        <w:rPr>
          <w:b/>
          <w:bCs/>
          <w:i/>
          <w:iCs/>
          <w:szCs w:val="22"/>
          <w:lang w:val="en-US"/>
        </w:rPr>
      </w:pPr>
      <w:r w:rsidRPr="006E3CC6">
        <w:rPr>
          <w:b/>
          <w:bCs/>
          <w:i/>
          <w:iCs/>
          <w:szCs w:val="22"/>
          <w:lang w:val="en-US"/>
        </w:rPr>
        <w:t>FFS: Method for indicating the spacing parameter</w:t>
      </w:r>
    </w:p>
    <w:p w14:paraId="6AD80343" w14:textId="77777777" w:rsidR="006E3CC6" w:rsidRPr="006E3CC6" w:rsidRDefault="008E6170" w:rsidP="006E3CC6">
      <w:pPr>
        <w:pStyle w:val="TableofFigures"/>
        <w:tabs>
          <w:tab w:val="right" w:leader="dot" w:pos="9629"/>
        </w:tabs>
        <w:spacing w:after="120"/>
        <w:rPr>
          <w:rFonts w:ascii="Times New Roman" w:eastAsiaTheme="minorEastAsia" w:hAnsi="Times New Roman"/>
          <w:i w:val="0"/>
          <w:iCs w:val="0"/>
          <w:noProof/>
          <w:sz w:val="22"/>
          <w:szCs w:val="22"/>
          <w:lang w:val="fr-FR" w:eastAsia="fr-FR"/>
        </w:rPr>
      </w:pPr>
      <w:hyperlink w:anchor="_Toc61887416" w:history="1">
        <w:r w:rsidR="006E3CC6" w:rsidRPr="006E3CC6">
          <w:rPr>
            <w:rStyle w:val="Hyperlink"/>
            <w:rFonts w:ascii="Times New Roman" w:hAnsi="Times New Roman"/>
            <w:b/>
            <w:bCs/>
            <w:noProof/>
            <w:sz w:val="22"/>
            <w:szCs w:val="22"/>
          </w:rPr>
          <w:t>Proposal 4.</w:t>
        </w:r>
        <w:r w:rsidR="006E3CC6" w:rsidRPr="006E3CC6">
          <w:rPr>
            <w:rStyle w:val="Hyperlink"/>
            <w:rFonts w:ascii="Times New Roman" w:hAnsi="Times New Roman"/>
            <w:noProof/>
            <w:sz w:val="22"/>
            <w:szCs w:val="22"/>
          </w:rPr>
          <w:t xml:space="preserve"> </w:t>
        </w:r>
        <w:r w:rsidR="006E3CC6" w:rsidRPr="006E3CC6">
          <w:rPr>
            <w:rStyle w:val="Hyperlink"/>
            <w:rFonts w:ascii="Times New Roman" w:hAnsi="Times New Roman"/>
            <w:b/>
            <w:bCs/>
            <w:noProof/>
            <w:sz w:val="22"/>
            <w:szCs w:val="22"/>
          </w:rPr>
          <w:t>For inter-slot frequency hopping with inter-slot bundling to enable joint channel estimation, a concept of inter-window frequency hopping should be specified, where each window is a time-domain window, within which power consistency and phase continuity are both guaranteed across PUSCHs for joint channel estimation.</w:t>
        </w:r>
      </w:hyperlink>
    </w:p>
    <w:p w14:paraId="11E4BE87" w14:textId="4FEF98CF" w:rsidR="000867B8" w:rsidRPr="006E3CC6" w:rsidRDefault="006E3CC6" w:rsidP="006E3CC6">
      <w:pPr>
        <w:spacing w:after="120"/>
        <w:rPr>
          <w:szCs w:val="22"/>
        </w:rPr>
      </w:pPr>
      <w:r w:rsidRPr="006E3CC6">
        <w:rPr>
          <w:b/>
          <w:bCs/>
          <w:szCs w:val="22"/>
          <w:lang w:eastAsia="zh-CN"/>
        </w:rPr>
        <w:fldChar w:fldCharType="end"/>
      </w:r>
    </w:p>
    <w:p w14:paraId="53CD9119" w14:textId="5206E1F5" w:rsidR="00885580" w:rsidRDefault="00885580" w:rsidP="00885580">
      <w:pPr>
        <w:pStyle w:val="Heading1"/>
        <w:numPr>
          <w:ilvl w:val="0"/>
          <w:numId w:val="0"/>
        </w:numPr>
      </w:pPr>
      <w:r>
        <w:t>References</w:t>
      </w:r>
    </w:p>
    <w:p w14:paraId="48CBFBDF" w14:textId="7612088C" w:rsidR="000C5B5B" w:rsidRPr="006E3CC6" w:rsidRDefault="00AE770F" w:rsidP="006E3CC6">
      <w:pPr>
        <w:pStyle w:val="ListParagraph"/>
        <w:numPr>
          <w:ilvl w:val="0"/>
          <w:numId w:val="27"/>
        </w:numPr>
        <w:rPr>
          <w:sz w:val="20"/>
          <w:szCs w:val="20"/>
          <w:lang w:val="en-US"/>
        </w:rPr>
      </w:pPr>
      <w:bookmarkStart w:id="12" w:name="_Ref60930118"/>
      <w:r w:rsidRPr="00AE770F">
        <w:rPr>
          <w:sz w:val="20"/>
          <w:szCs w:val="20"/>
          <w:lang w:val="en-US"/>
        </w:rPr>
        <w:t>RP-202928</w:t>
      </w:r>
      <w:r>
        <w:rPr>
          <w:sz w:val="20"/>
          <w:szCs w:val="20"/>
          <w:lang w:val="en-US"/>
        </w:rPr>
        <w:tab/>
      </w:r>
      <w:r w:rsidRPr="00AE770F">
        <w:rPr>
          <w:sz w:val="20"/>
          <w:szCs w:val="20"/>
          <w:lang w:val="en-US"/>
        </w:rPr>
        <w:t>New WID on NR coverage enhancements</w:t>
      </w:r>
      <w:r>
        <w:rPr>
          <w:sz w:val="20"/>
          <w:szCs w:val="20"/>
          <w:lang w:val="en-US"/>
        </w:rPr>
        <w:t>, China Telecom (moderator), December 2020.</w:t>
      </w:r>
      <w:bookmarkEnd w:id="12"/>
    </w:p>
    <w:sectPr w:rsidR="000C5B5B" w:rsidRPr="006E3CC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89092" w14:textId="77777777" w:rsidR="004A58DC" w:rsidRDefault="004A58DC">
      <w:r>
        <w:separator/>
      </w:r>
    </w:p>
  </w:endnote>
  <w:endnote w:type="continuationSeparator" w:id="0">
    <w:p w14:paraId="39632D7B" w14:textId="77777777" w:rsidR="004A58DC" w:rsidRDefault="004A5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2A4BE" w14:textId="77777777" w:rsidR="004A58DC" w:rsidRDefault="004A58DC">
      <w:r>
        <w:separator/>
      </w:r>
    </w:p>
  </w:footnote>
  <w:footnote w:type="continuationSeparator" w:id="0">
    <w:p w14:paraId="09788B69" w14:textId="77777777" w:rsidR="004A58DC" w:rsidRDefault="004A5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221308"/>
    <w:multiLevelType w:val="hybridMultilevel"/>
    <w:tmpl w:val="ABEC0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325DD"/>
    <w:multiLevelType w:val="hybridMultilevel"/>
    <w:tmpl w:val="84E84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E096C"/>
    <w:multiLevelType w:val="hybridMultilevel"/>
    <w:tmpl w:val="3042C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FF6433"/>
    <w:multiLevelType w:val="hybridMultilevel"/>
    <w:tmpl w:val="ABA8D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E1F10"/>
    <w:multiLevelType w:val="hybridMultilevel"/>
    <w:tmpl w:val="9D3C8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02625"/>
    <w:multiLevelType w:val="hybridMultilevel"/>
    <w:tmpl w:val="08F0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A1CE8"/>
    <w:multiLevelType w:val="hybridMultilevel"/>
    <w:tmpl w:val="47F28F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414F5E"/>
    <w:multiLevelType w:val="hybridMultilevel"/>
    <w:tmpl w:val="7584CD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2364C97"/>
    <w:multiLevelType w:val="hybridMultilevel"/>
    <w:tmpl w:val="26700E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205AD3"/>
    <w:multiLevelType w:val="hybridMultilevel"/>
    <w:tmpl w:val="55D08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1"/>
  </w:num>
  <w:num w:numId="3">
    <w:abstractNumId w:val="0"/>
  </w:num>
  <w:num w:numId="4">
    <w:abstractNumId w:val="3"/>
  </w:num>
  <w:num w:numId="5">
    <w:abstractNumId w:val="20"/>
  </w:num>
  <w:num w:numId="6">
    <w:abstractNumId w:val="32"/>
  </w:num>
  <w:num w:numId="7">
    <w:abstractNumId w:val="23"/>
  </w:num>
  <w:num w:numId="8">
    <w:abstractNumId w:val="19"/>
  </w:num>
  <w:num w:numId="9">
    <w:abstractNumId w:val="36"/>
  </w:num>
  <w:num w:numId="10">
    <w:abstractNumId w:val="8"/>
  </w:num>
  <w:num w:numId="11">
    <w:abstractNumId w:val="26"/>
  </w:num>
  <w:num w:numId="12">
    <w:abstractNumId w:val="7"/>
  </w:num>
  <w:num w:numId="13">
    <w:abstractNumId w:val="16"/>
  </w:num>
  <w:num w:numId="14">
    <w:abstractNumId w:val="29"/>
  </w:num>
  <w:num w:numId="15">
    <w:abstractNumId w:val="21"/>
  </w:num>
  <w:num w:numId="16">
    <w:abstractNumId w:val="1"/>
  </w:num>
  <w:num w:numId="17">
    <w:abstractNumId w:val="28"/>
  </w:num>
  <w:num w:numId="18">
    <w:abstractNumId w:val="17"/>
  </w:num>
  <w:num w:numId="19">
    <w:abstractNumId w:val="24"/>
  </w:num>
  <w:num w:numId="20">
    <w:abstractNumId w:val="35"/>
  </w:num>
  <w:num w:numId="21">
    <w:abstractNumId w:val="37"/>
  </w:num>
  <w:num w:numId="22">
    <w:abstractNumId w:val="27"/>
  </w:num>
  <w:num w:numId="23">
    <w:abstractNumId w:val="15"/>
  </w:num>
  <w:num w:numId="24">
    <w:abstractNumId w:val="9"/>
  </w:num>
  <w:num w:numId="25">
    <w:abstractNumId w:val="33"/>
  </w:num>
  <w:num w:numId="26">
    <w:abstractNumId w:val="30"/>
  </w:num>
  <w:num w:numId="27">
    <w:abstractNumId w:val="11"/>
  </w:num>
  <w:num w:numId="28">
    <w:abstractNumId w:val="2"/>
  </w:num>
  <w:num w:numId="29">
    <w:abstractNumId w:val="25"/>
  </w:num>
  <w:num w:numId="30">
    <w:abstractNumId w:val="22"/>
  </w:num>
  <w:num w:numId="31">
    <w:abstractNumId w:val="4"/>
  </w:num>
  <w:num w:numId="32">
    <w:abstractNumId w:val="5"/>
  </w:num>
  <w:num w:numId="33">
    <w:abstractNumId w:val="34"/>
  </w:num>
  <w:num w:numId="34">
    <w:abstractNumId w:val="14"/>
  </w:num>
  <w:num w:numId="35">
    <w:abstractNumId w:val="13"/>
  </w:num>
  <w:num w:numId="36">
    <w:abstractNumId w:val="12"/>
  </w:num>
  <w:num w:numId="37">
    <w:abstractNumId w:val="6"/>
  </w:num>
  <w:num w:numId="3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75A"/>
    <w:rsid w:val="00013F5E"/>
    <w:rsid w:val="0001403F"/>
    <w:rsid w:val="0001487F"/>
    <w:rsid w:val="00014F35"/>
    <w:rsid w:val="00015F98"/>
    <w:rsid w:val="000166AC"/>
    <w:rsid w:val="00017B7F"/>
    <w:rsid w:val="00017EDA"/>
    <w:rsid w:val="000212A5"/>
    <w:rsid w:val="000217CA"/>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983"/>
    <w:rsid w:val="00041C9D"/>
    <w:rsid w:val="0004327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7B8"/>
    <w:rsid w:val="000902C2"/>
    <w:rsid w:val="000912A4"/>
    <w:rsid w:val="00091A92"/>
    <w:rsid w:val="00093C49"/>
    <w:rsid w:val="00095A80"/>
    <w:rsid w:val="00096D6C"/>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B92"/>
    <w:rsid w:val="000B6D65"/>
    <w:rsid w:val="000B721E"/>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11"/>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6CDD"/>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20CE"/>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7D2"/>
    <w:rsid w:val="00164E58"/>
    <w:rsid w:val="00165033"/>
    <w:rsid w:val="00165926"/>
    <w:rsid w:val="001665EB"/>
    <w:rsid w:val="001670EA"/>
    <w:rsid w:val="001674A0"/>
    <w:rsid w:val="00170A50"/>
    <w:rsid w:val="0017318B"/>
    <w:rsid w:val="00174FFD"/>
    <w:rsid w:val="001759CA"/>
    <w:rsid w:val="0017726A"/>
    <w:rsid w:val="00177DD3"/>
    <w:rsid w:val="00180278"/>
    <w:rsid w:val="001807F2"/>
    <w:rsid w:val="001818A7"/>
    <w:rsid w:val="00182725"/>
    <w:rsid w:val="001829C8"/>
    <w:rsid w:val="00186904"/>
    <w:rsid w:val="00186B0A"/>
    <w:rsid w:val="00187809"/>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3B99"/>
    <w:rsid w:val="001C5296"/>
    <w:rsid w:val="001C66AC"/>
    <w:rsid w:val="001C6754"/>
    <w:rsid w:val="001C77F0"/>
    <w:rsid w:val="001C7E2A"/>
    <w:rsid w:val="001D076F"/>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24"/>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871BB"/>
    <w:rsid w:val="0029136E"/>
    <w:rsid w:val="00292399"/>
    <w:rsid w:val="00294445"/>
    <w:rsid w:val="00294B4D"/>
    <w:rsid w:val="0029537E"/>
    <w:rsid w:val="002960D5"/>
    <w:rsid w:val="0029704C"/>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B0B"/>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23"/>
    <w:rsid w:val="00341E60"/>
    <w:rsid w:val="0034217F"/>
    <w:rsid w:val="00342AD2"/>
    <w:rsid w:val="00343954"/>
    <w:rsid w:val="00344BCA"/>
    <w:rsid w:val="00345405"/>
    <w:rsid w:val="00345DDD"/>
    <w:rsid w:val="00346FED"/>
    <w:rsid w:val="00351E01"/>
    <w:rsid w:val="00352968"/>
    <w:rsid w:val="0035298B"/>
    <w:rsid w:val="00352C2E"/>
    <w:rsid w:val="00352D21"/>
    <w:rsid w:val="0035443D"/>
    <w:rsid w:val="00354AA2"/>
    <w:rsid w:val="00354FEE"/>
    <w:rsid w:val="00355F2B"/>
    <w:rsid w:val="00356275"/>
    <w:rsid w:val="00356C0B"/>
    <w:rsid w:val="00357B9C"/>
    <w:rsid w:val="00361412"/>
    <w:rsid w:val="003615CA"/>
    <w:rsid w:val="00361FE4"/>
    <w:rsid w:val="00363B2C"/>
    <w:rsid w:val="003642A6"/>
    <w:rsid w:val="00364763"/>
    <w:rsid w:val="00365C3D"/>
    <w:rsid w:val="00366C1B"/>
    <w:rsid w:val="00367337"/>
    <w:rsid w:val="00367367"/>
    <w:rsid w:val="00367FD8"/>
    <w:rsid w:val="0037004E"/>
    <w:rsid w:val="00370B63"/>
    <w:rsid w:val="00370FCC"/>
    <w:rsid w:val="003711AF"/>
    <w:rsid w:val="0037238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52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1D9"/>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8EE"/>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1884"/>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5502"/>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305"/>
    <w:rsid w:val="00466A0F"/>
    <w:rsid w:val="0046795B"/>
    <w:rsid w:val="00467A0E"/>
    <w:rsid w:val="004708C0"/>
    <w:rsid w:val="0047115F"/>
    <w:rsid w:val="004715CB"/>
    <w:rsid w:val="00471863"/>
    <w:rsid w:val="00473777"/>
    <w:rsid w:val="00473A14"/>
    <w:rsid w:val="004745A9"/>
    <w:rsid w:val="00474871"/>
    <w:rsid w:val="00474CA8"/>
    <w:rsid w:val="00474E43"/>
    <w:rsid w:val="004750FD"/>
    <w:rsid w:val="0047664E"/>
    <w:rsid w:val="004766DA"/>
    <w:rsid w:val="00476A55"/>
    <w:rsid w:val="0048076D"/>
    <w:rsid w:val="00481139"/>
    <w:rsid w:val="0048134D"/>
    <w:rsid w:val="00481624"/>
    <w:rsid w:val="00481765"/>
    <w:rsid w:val="00481D90"/>
    <w:rsid w:val="004826EC"/>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8D9"/>
    <w:rsid w:val="004A014C"/>
    <w:rsid w:val="004A0AA8"/>
    <w:rsid w:val="004A1FE4"/>
    <w:rsid w:val="004A2103"/>
    <w:rsid w:val="004A2CA9"/>
    <w:rsid w:val="004A33EF"/>
    <w:rsid w:val="004A34C9"/>
    <w:rsid w:val="004A3CB5"/>
    <w:rsid w:val="004A537D"/>
    <w:rsid w:val="004A58DC"/>
    <w:rsid w:val="004A67F0"/>
    <w:rsid w:val="004A71C3"/>
    <w:rsid w:val="004A7769"/>
    <w:rsid w:val="004A77B1"/>
    <w:rsid w:val="004B00D9"/>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E7B81"/>
    <w:rsid w:val="004F0224"/>
    <w:rsid w:val="004F0DB4"/>
    <w:rsid w:val="004F0E04"/>
    <w:rsid w:val="004F1CD3"/>
    <w:rsid w:val="004F1EBC"/>
    <w:rsid w:val="004F20E8"/>
    <w:rsid w:val="004F3172"/>
    <w:rsid w:val="004F3B71"/>
    <w:rsid w:val="004F3FE5"/>
    <w:rsid w:val="004F5154"/>
    <w:rsid w:val="004F5835"/>
    <w:rsid w:val="004F5C91"/>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285B"/>
    <w:rsid w:val="00513839"/>
    <w:rsid w:val="00513DEF"/>
    <w:rsid w:val="0051423C"/>
    <w:rsid w:val="005148D4"/>
    <w:rsid w:val="00514C91"/>
    <w:rsid w:val="005153CE"/>
    <w:rsid w:val="00516241"/>
    <w:rsid w:val="00516D9A"/>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0A0"/>
    <w:rsid w:val="005B3C6D"/>
    <w:rsid w:val="005B4045"/>
    <w:rsid w:val="005B465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0DD7"/>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103"/>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194B"/>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51D"/>
    <w:rsid w:val="006948EF"/>
    <w:rsid w:val="00696D63"/>
    <w:rsid w:val="006A032F"/>
    <w:rsid w:val="006A0DD3"/>
    <w:rsid w:val="006A146E"/>
    <w:rsid w:val="006A1718"/>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629E"/>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3CC6"/>
    <w:rsid w:val="006E4D0C"/>
    <w:rsid w:val="006E4D1B"/>
    <w:rsid w:val="006E5B78"/>
    <w:rsid w:val="006E67BA"/>
    <w:rsid w:val="006E699D"/>
    <w:rsid w:val="006E6BA3"/>
    <w:rsid w:val="006F0319"/>
    <w:rsid w:val="006F0D9A"/>
    <w:rsid w:val="006F1116"/>
    <w:rsid w:val="006F2654"/>
    <w:rsid w:val="006F3196"/>
    <w:rsid w:val="006F3C54"/>
    <w:rsid w:val="006F418C"/>
    <w:rsid w:val="006F44D0"/>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57"/>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0C2"/>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7BA"/>
    <w:rsid w:val="007D0C44"/>
    <w:rsid w:val="007D1972"/>
    <w:rsid w:val="007D1F33"/>
    <w:rsid w:val="007D3307"/>
    <w:rsid w:val="007D44CE"/>
    <w:rsid w:val="007D54F8"/>
    <w:rsid w:val="007D5E27"/>
    <w:rsid w:val="007D6F64"/>
    <w:rsid w:val="007D7B52"/>
    <w:rsid w:val="007E1782"/>
    <w:rsid w:val="007E25AB"/>
    <w:rsid w:val="007E2F41"/>
    <w:rsid w:val="007E44FC"/>
    <w:rsid w:val="007E470D"/>
    <w:rsid w:val="007E5AC2"/>
    <w:rsid w:val="007E79C5"/>
    <w:rsid w:val="007F0798"/>
    <w:rsid w:val="007F2845"/>
    <w:rsid w:val="007F2A69"/>
    <w:rsid w:val="007F38A2"/>
    <w:rsid w:val="007F43BC"/>
    <w:rsid w:val="007F4740"/>
    <w:rsid w:val="007F4F36"/>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663"/>
    <w:rsid w:val="00842E0C"/>
    <w:rsid w:val="00843A7A"/>
    <w:rsid w:val="008447F5"/>
    <w:rsid w:val="00846292"/>
    <w:rsid w:val="008506E1"/>
    <w:rsid w:val="00850D96"/>
    <w:rsid w:val="008515EE"/>
    <w:rsid w:val="00851A8E"/>
    <w:rsid w:val="00851EC7"/>
    <w:rsid w:val="008528D3"/>
    <w:rsid w:val="00854553"/>
    <w:rsid w:val="00855B86"/>
    <w:rsid w:val="00856D47"/>
    <w:rsid w:val="0085704B"/>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6FD2"/>
    <w:rsid w:val="0089716F"/>
    <w:rsid w:val="00897C71"/>
    <w:rsid w:val="008A0F54"/>
    <w:rsid w:val="008A16F9"/>
    <w:rsid w:val="008A1D3E"/>
    <w:rsid w:val="008A3038"/>
    <w:rsid w:val="008A4B16"/>
    <w:rsid w:val="008A4D63"/>
    <w:rsid w:val="008A4E11"/>
    <w:rsid w:val="008A6D62"/>
    <w:rsid w:val="008B080C"/>
    <w:rsid w:val="008B13E9"/>
    <w:rsid w:val="008B2257"/>
    <w:rsid w:val="008B2360"/>
    <w:rsid w:val="008B2436"/>
    <w:rsid w:val="008B3B51"/>
    <w:rsid w:val="008B4057"/>
    <w:rsid w:val="008B4145"/>
    <w:rsid w:val="008B5071"/>
    <w:rsid w:val="008B5290"/>
    <w:rsid w:val="008B6A40"/>
    <w:rsid w:val="008B72EC"/>
    <w:rsid w:val="008C150D"/>
    <w:rsid w:val="008C2CFD"/>
    <w:rsid w:val="008C34A6"/>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170"/>
    <w:rsid w:val="008F00DB"/>
    <w:rsid w:val="008F1264"/>
    <w:rsid w:val="008F2908"/>
    <w:rsid w:val="008F47C6"/>
    <w:rsid w:val="008F6647"/>
    <w:rsid w:val="008F700E"/>
    <w:rsid w:val="008F7619"/>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EC6"/>
    <w:rsid w:val="00926F61"/>
    <w:rsid w:val="00926FA9"/>
    <w:rsid w:val="0093123D"/>
    <w:rsid w:val="00931787"/>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278"/>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D"/>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092"/>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12"/>
    <w:rsid w:val="009B7A72"/>
    <w:rsid w:val="009B7BB8"/>
    <w:rsid w:val="009C0E9B"/>
    <w:rsid w:val="009C126A"/>
    <w:rsid w:val="009C1D4C"/>
    <w:rsid w:val="009C206F"/>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297C"/>
    <w:rsid w:val="00A03978"/>
    <w:rsid w:val="00A03AB1"/>
    <w:rsid w:val="00A04D7E"/>
    <w:rsid w:val="00A051D9"/>
    <w:rsid w:val="00A0589B"/>
    <w:rsid w:val="00A05DF3"/>
    <w:rsid w:val="00A07E08"/>
    <w:rsid w:val="00A10D79"/>
    <w:rsid w:val="00A11535"/>
    <w:rsid w:val="00A11E56"/>
    <w:rsid w:val="00A11FFC"/>
    <w:rsid w:val="00A12008"/>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E97"/>
    <w:rsid w:val="00A471A8"/>
    <w:rsid w:val="00A4791B"/>
    <w:rsid w:val="00A50A48"/>
    <w:rsid w:val="00A51180"/>
    <w:rsid w:val="00A51242"/>
    <w:rsid w:val="00A51522"/>
    <w:rsid w:val="00A51573"/>
    <w:rsid w:val="00A51A5E"/>
    <w:rsid w:val="00A52895"/>
    <w:rsid w:val="00A52D7D"/>
    <w:rsid w:val="00A539A5"/>
    <w:rsid w:val="00A539C8"/>
    <w:rsid w:val="00A53DA0"/>
    <w:rsid w:val="00A5404D"/>
    <w:rsid w:val="00A555A7"/>
    <w:rsid w:val="00A56432"/>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6D2"/>
    <w:rsid w:val="00A7205E"/>
    <w:rsid w:val="00A74692"/>
    <w:rsid w:val="00A75A52"/>
    <w:rsid w:val="00A7618B"/>
    <w:rsid w:val="00A7640B"/>
    <w:rsid w:val="00A76977"/>
    <w:rsid w:val="00A773A8"/>
    <w:rsid w:val="00A7778B"/>
    <w:rsid w:val="00A803BC"/>
    <w:rsid w:val="00A80672"/>
    <w:rsid w:val="00A80969"/>
    <w:rsid w:val="00A81FFA"/>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51F"/>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8CC"/>
    <w:rsid w:val="00AE2BED"/>
    <w:rsid w:val="00AE3DE1"/>
    <w:rsid w:val="00AE5439"/>
    <w:rsid w:val="00AE61B2"/>
    <w:rsid w:val="00AE770F"/>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67"/>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C1C"/>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851"/>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393D"/>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32FA"/>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549"/>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617"/>
    <w:rsid w:val="00C76F1D"/>
    <w:rsid w:val="00C77937"/>
    <w:rsid w:val="00C77A46"/>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4D6"/>
    <w:rsid w:val="00CA391D"/>
    <w:rsid w:val="00CA3ACD"/>
    <w:rsid w:val="00CA4961"/>
    <w:rsid w:val="00CA4F8B"/>
    <w:rsid w:val="00CA5445"/>
    <w:rsid w:val="00CB0007"/>
    <w:rsid w:val="00CB09DA"/>
    <w:rsid w:val="00CB0BD9"/>
    <w:rsid w:val="00CB1CAC"/>
    <w:rsid w:val="00CB1DE8"/>
    <w:rsid w:val="00CB1E3B"/>
    <w:rsid w:val="00CB1F1D"/>
    <w:rsid w:val="00CB6795"/>
    <w:rsid w:val="00CB71F8"/>
    <w:rsid w:val="00CC11C2"/>
    <w:rsid w:val="00CC180A"/>
    <w:rsid w:val="00CC26DB"/>
    <w:rsid w:val="00CC300C"/>
    <w:rsid w:val="00CC35AE"/>
    <w:rsid w:val="00CC3DAA"/>
    <w:rsid w:val="00CC4C2C"/>
    <w:rsid w:val="00CC5057"/>
    <w:rsid w:val="00CD078F"/>
    <w:rsid w:val="00CD121E"/>
    <w:rsid w:val="00CD1265"/>
    <w:rsid w:val="00CD185D"/>
    <w:rsid w:val="00CD28F0"/>
    <w:rsid w:val="00CD3ED8"/>
    <w:rsid w:val="00CD497A"/>
    <w:rsid w:val="00CD761D"/>
    <w:rsid w:val="00CD76B5"/>
    <w:rsid w:val="00CD78B9"/>
    <w:rsid w:val="00CE1D01"/>
    <w:rsid w:val="00CE2323"/>
    <w:rsid w:val="00CE2346"/>
    <w:rsid w:val="00CE5562"/>
    <w:rsid w:val="00CE6F0F"/>
    <w:rsid w:val="00CF002F"/>
    <w:rsid w:val="00CF0246"/>
    <w:rsid w:val="00CF2483"/>
    <w:rsid w:val="00CF24E2"/>
    <w:rsid w:val="00CF393D"/>
    <w:rsid w:val="00CF3C75"/>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6B85"/>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2A86"/>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024"/>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9BA"/>
    <w:rsid w:val="00D82BF2"/>
    <w:rsid w:val="00D84A57"/>
    <w:rsid w:val="00D87307"/>
    <w:rsid w:val="00D874DF"/>
    <w:rsid w:val="00D87A12"/>
    <w:rsid w:val="00D930E1"/>
    <w:rsid w:val="00D9354D"/>
    <w:rsid w:val="00D9415C"/>
    <w:rsid w:val="00D942CC"/>
    <w:rsid w:val="00D944E4"/>
    <w:rsid w:val="00D94D87"/>
    <w:rsid w:val="00D950DB"/>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C8B"/>
    <w:rsid w:val="00DE0C02"/>
    <w:rsid w:val="00DE18A3"/>
    <w:rsid w:val="00DE1904"/>
    <w:rsid w:val="00DE1DAA"/>
    <w:rsid w:val="00DE3DBB"/>
    <w:rsid w:val="00DE43A2"/>
    <w:rsid w:val="00DE4A74"/>
    <w:rsid w:val="00DE4B05"/>
    <w:rsid w:val="00DE4EE9"/>
    <w:rsid w:val="00DE541C"/>
    <w:rsid w:val="00DE737B"/>
    <w:rsid w:val="00DF100B"/>
    <w:rsid w:val="00DF11B7"/>
    <w:rsid w:val="00DF4359"/>
    <w:rsid w:val="00DF5AD0"/>
    <w:rsid w:val="00DF5CDF"/>
    <w:rsid w:val="00DF73C1"/>
    <w:rsid w:val="00DF7511"/>
    <w:rsid w:val="00DF7751"/>
    <w:rsid w:val="00E005F2"/>
    <w:rsid w:val="00E009B1"/>
    <w:rsid w:val="00E00BC3"/>
    <w:rsid w:val="00E011D7"/>
    <w:rsid w:val="00E031BB"/>
    <w:rsid w:val="00E0417B"/>
    <w:rsid w:val="00E0576C"/>
    <w:rsid w:val="00E068BC"/>
    <w:rsid w:val="00E073F0"/>
    <w:rsid w:val="00E10761"/>
    <w:rsid w:val="00E10CC2"/>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1C0"/>
    <w:rsid w:val="00E9616B"/>
    <w:rsid w:val="00E96A29"/>
    <w:rsid w:val="00E96B28"/>
    <w:rsid w:val="00E96FE6"/>
    <w:rsid w:val="00E973A1"/>
    <w:rsid w:val="00EA0F54"/>
    <w:rsid w:val="00EA1059"/>
    <w:rsid w:val="00EA14BA"/>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539"/>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6DD7"/>
    <w:rsid w:val="00F07F39"/>
    <w:rsid w:val="00F10CB9"/>
    <w:rsid w:val="00F110CD"/>
    <w:rsid w:val="00F110D5"/>
    <w:rsid w:val="00F11C06"/>
    <w:rsid w:val="00F12351"/>
    <w:rsid w:val="00F15193"/>
    <w:rsid w:val="00F16739"/>
    <w:rsid w:val="00F16DE2"/>
    <w:rsid w:val="00F171E3"/>
    <w:rsid w:val="00F2052B"/>
    <w:rsid w:val="00F22183"/>
    <w:rsid w:val="00F2260F"/>
    <w:rsid w:val="00F242AD"/>
    <w:rsid w:val="00F247F2"/>
    <w:rsid w:val="00F2518F"/>
    <w:rsid w:val="00F252A8"/>
    <w:rsid w:val="00F255D9"/>
    <w:rsid w:val="00F265F7"/>
    <w:rsid w:val="00F27FA6"/>
    <w:rsid w:val="00F33DC8"/>
    <w:rsid w:val="00F341EE"/>
    <w:rsid w:val="00F34444"/>
    <w:rsid w:val="00F378F1"/>
    <w:rsid w:val="00F403A1"/>
    <w:rsid w:val="00F403DB"/>
    <w:rsid w:val="00F4065A"/>
    <w:rsid w:val="00F4275C"/>
    <w:rsid w:val="00F434B2"/>
    <w:rsid w:val="00F45693"/>
    <w:rsid w:val="00F52339"/>
    <w:rsid w:val="00F5277A"/>
    <w:rsid w:val="00F532E8"/>
    <w:rsid w:val="00F537FF"/>
    <w:rsid w:val="00F546FE"/>
    <w:rsid w:val="00F54E36"/>
    <w:rsid w:val="00F56041"/>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2A0A"/>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12A1"/>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1C2"/>
    <w:pPr>
      <w:overflowPunct w:val="0"/>
      <w:autoSpaceDE w:val="0"/>
      <w:autoSpaceDN w:val="0"/>
      <w:adjustRightInd w:val="0"/>
      <w:spacing w:after="180"/>
      <w:textAlignment w:val="baseline"/>
    </w:pPr>
    <w:rPr>
      <w:rFonts w:ascii="Times New Roman" w:hAnsi="Times New Roman"/>
      <w:sz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69451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69451D"/>
    <w:rPr>
      <w:rFonts w:ascii="Times New Roman" w:hAnsi="Times New Roman"/>
      <w:b/>
      <w:sz w:val="22"/>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CC11C2"/>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CC11C2"/>
    <w:rPr>
      <w:rFonts w:ascii="Times New Roman" w:hAnsi="Times New Roman"/>
      <w:sz w:val="22"/>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6E3CC6"/>
    <w:pPr>
      <w:overflowPunct/>
      <w:autoSpaceDE/>
      <w:autoSpaceDN/>
      <w:adjustRightInd/>
      <w:spacing w:after="0"/>
      <w:textAlignment w:val="auto"/>
    </w:pPr>
    <w:rPr>
      <w:rFonts w:asciiTheme="minorHAnsi" w:eastAsia="Times New Roman" w:hAnsiTheme="minorHAnsi"/>
      <w:i/>
      <w:i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5AIRPNAIUNRU-1830940522-9351</_dlc_DocId>
    <_dlc_DocIdUrl xmlns="71c5aaf6-e6ce-465b-b873-5148d2a4c105">
      <Url>https://nokia.sharepoint.com/sites/c5g/5gradio/_layouts/15/DocIdRedir.aspx?ID=5AIRPNAIUNRU-1830940522-9351</Url>
      <Description>5AIRPNAIUNRU-1830940522-9351</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3FDFC80-A45F-4153-AD85-C7FA1769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117</TotalTime>
  <Pages>5</Pages>
  <Words>1809</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Quang 6th round</cp:lastModifiedBy>
  <cp:revision>8</cp:revision>
  <cp:lastPrinted>2016-06-20T11:35:00Z</cp:lastPrinted>
  <dcterms:created xsi:type="dcterms:W3CDTF">2021-01-18T16:22:00Z</dcterms:created>
  <dcterms:modified xsi:type="dcterms:W3CDTF">2021-01-18T18:59:00Z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19e80264-558a-4452-9e8c-5cd551129081</vt:lpwstr>
  </property>
</Properties>
</file>